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432" w:rsidRPr="00345432" w:rsidRDefault="00345432" w:rsidP="00345432">
      <w:pPr>
        <w:jc w:val="center"/>
        <w:rPr>
          <w:rFonts w:ascii="Arial" w:hAnsi="Arial" w:cs="Arial"/>
          <w:b/>
          <w:bCs/>
          <w:lang w:val="es-ES_tradnl"/>
        </w:rPr>
      </w:pPr>
    </w:p>
    <w:p w:rsidR="00345432" w:rsidRDefault="003421B4" w:rsidP="00345432">
      <w:pPr>
        <w:jc w:val="center"/>
        <w:rPr>
          <w:rFonts w:ascii="Arial" w:hAnsi="Arial" w:cs="Arial"/>
          <w:b/>
          <w:lang w:val="es-ES_tradnl"/>
        </w:rPr>
      </w:pPr>
      <w:r>
        <w:rPr>
          <w:rFonts w:ascii="Arial" w:hAnsi="Arial" w:cs="Arial"/>
          <w:b/>
          <w:lang w:val="es-ES_tradnl"/>
        </w:rPr>
        <w:t xml:space="preserve">EN EL </w:t>
      </w:r>
      <w:r w:rsidR="00345432" w:rsidRPr="00345432">
        <w:rPr>
          <w:rFonts w:ascii="Arial" w:hAnsi="Arial" w:cs="Arial"/>
          <w:b/>
          <w:lang w:val="es-ES_tradnl"/>
        </w:rPr>
        <w:t xml:space="preserve">TRIBUNAL </w:t>
      </w:r>
      <w:r>
        <w:rPr>
          <w:rFonts w:ascii="Arial" w:hAnsi="Arial" w:cs="Arial"/>
          <w:b/>
          <w:lang w:val="es-ES_tradnl"/>
        </w:rPr>
        <w:t>SUPREMO DE PUERTO RICO</w:t>
      </w:r>
    </w:p>
    <w:p w:rsidR="007F4CA0" w:rsidRPr="007F4CA0" w:rsidRDefault="007F4CA0" w:rsidP="00345432">
      <w:pPr>
        <w:jc w:val="center"/>
        <w:rPr>
          <w:rFonts w:ascii="Arial" w:hAnsi="Arial" w:cs="Arial"/>
          <w:b/>
          <w:lang w:val="es-ES_tradn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860"/>
      </w:tblGrid>
      <w:tr w:rsidR="00345432" w:rsidRPr="00345432" w:rsidTr="00F03297">
        <w:trPr>
          <w:trHeight w:val="3411"/>
        </w:trPr>
        <w:tc>
          <w:tcPr>
            <w:tcW w:w="4230" w:type="dxa"/>
            <w:tcBorders>
              <w:top w:val="nil"/>
              <w:left w:val="nil"/>
            </w:tcBorders>
          </w:tcPr>
          <w:p w:rsidR="00345432" w:rsidRPr="00345432" w:rsidRDefault="00345432" w:rsidP="00345432">
            <w:pPr>
              <w:spacing w:after="200" w:line="276" w:lineRule="auto"/>
              <w:ind w:firstLine="720"/>
              <w:jc w:val="both"/>
              <w:rPr>
                <w:rFonts w:ascii="Arial" w:hAnsi="Arial" w:cs="Arial"/>
                <w:b/>
                <w:lang w:val="es-PR"/>
              </w:rPr>
            </w:pPr>
          </w:p>
          <w:p w:rsidR="00345432" w:rsidRPr="00345432" w:rsidRDefault="002C4274" w:rsidP="00345432">
            <w:pPr>
              <w:jc w:val="center"/>
              <w:rPr>
                <w:rFonts w:ascii="Arial" w:hAnsi="Arial" w:cs="Arial"/>
                <w:i/>
                <w:caps/>
                <w:lang w:val="es-PR"/>
              </w:rPr>
            </w:pPr>
            <w:r w:rsidRPr="002C4274">
              <w:rPr>
                <w:rFonts w:ascii="Arial" w:hAnsi="Arial" w:cs="Arial"/>
                <w:bCs/>
                <w:i/>
                <w:caps/>
                <w:lang w:val="es-ES_tradnl"/>
              </w:rPr>
              <w:t>HÉCTOR M. TORRES TRINIDAD, FÉLIX OCASIO COLÓN, FRANCISCO MARINA DURAN Y ARMANDO CARLO ASENCIO ROSADO</w:t>
            </w:r>
            <w:r w:rsidR="00345432" w:rsidRPr="00345432">
              <w:rPr>
                <w:rFonts w:ascii="Arial" w:hAnsi="Arial" w:cs="Arial"/>
                <w:i/>
                <w:caps/>
                <w:lang w:val="es-ES_tradnl"/>
              </w:rPr>
              <w:t xml:space="preserve"> </w:t>
            </w:r>
          </w:p>
          <w:p w:rsidR="00345432" w:rsidRPr="00345432" w:rsidRDefault="002C4274" w:rsidP="00345432">
            <w:pPr>
              <w:spacing w:line="276" w:lineRule="auto"/>
              <w:jc w:val="center"/>
              <w:rPr>
                <w:rFonts w:ascii="Arial" w:hAnsi="Arial" w:cs="Arial"/>
                <w:b/>
                <w:lang w:val="es-PR"/>
              </w:rPr>
            </w:pPr>
            <w:r>
              <w:rPr>
                <w:rFonts w:ascii="Arial" w:hAnsi="Arial" w:cs="Arial"/>
                <w:b/>
                <w:lang w:val="es-PR"/>
              </w:rPr>
              <w:t>PARTE PETICIONARIA</w:t>
            </w:r>
          </w:p>
          <w:p w:rsidR="00FE53A6" w:rsidRPr="00345432" w:rsidRDefault="00FE53A6" w:rsidP="00345432">
            <w:pPr>
              <w:spacing w:line="276" w:lineRule="auto"/>
              <w:jc w:val="center"/>
              <w:rPr>
                <w:rFonts w:ascii="Arial" w:hAnsi="Arial" w:cs="Arial"/>
                <w:b/>
                <w:lang w:val="es-PR"/>
              </w:rPr>
            </w:pPr>
          </w:p>
          <w:p w:rsidR="00345432" w:rsidRPr="00345432" w:rsidRDefault="00345432" w:rsidP="00345432">
            <w:pPr>
              <w:spacing w:line="276" w:lineRule="auto"/>
              <w:jc w:val="center"/>
              <w:rPr>
                <w:rFonts w:ascii="Arial" w:hAnsi="Arial" w:cs="Arial"/>
                <w:b/>
                <w:lang w:val="es-PR"/>
              </w:rPr>
            </w:pPr>
            <w:r w:rsidRPr="00345432">
              <w:rPr>
                <w:rFonts w:ascii="Arial" w:hAnsi="Arial" w:cs="Arial"/>
                <w:b/>
                <w:lang w:val="es-PR"/>
              </w:rPr>
              <w:t>Vs.</w:t>
            </w:r>
          </w:p>
          <w:p w:rsidR="00FE53A6" w:rsidRPr="00345432" w:rsidRDefault="00FE53A6" w:rsidP="00345432">
            <w:pPr>
              <w:spacing w:line="276" w:lineRule="auto"/>
              <w:jc w:val="center"/>
              <w:rPr>
                <w:rFonts w:ascii="Arial" w:hAnsi="Arial" w:cs="Arial"/>
                <w:b/>
                <w:lang w:val="es-PR"/>
              </w:rPr>
            </w:pPr>
          </w:p>
          <w:p w:rsidR="00345432" w:rsidRPr="00345432" w:rsidRDefault="002C4274" w:rsidP="00345432">
            <w:pPr>
              <w:jc w:val="center"/>
              <w:rPr>
                <w:rFonts w:ascii="Arial" w:hAnsi="Arial" w:cs="Arial"/>
                <w:i/>
                <w:caps/>
                <w:lang w:val="es-PR"/>
              </w:rPr>
            </w:pPr>
            <w:r w:rsidRPr="002C4274">
              <w:rPr>
                <w:rFonts w:ascii="Arial" w:hAnsi="Arial" w:cs="Arial"/>
                <w:bCs/>
                <w:i/>
                <w:caps/>
                <w:lang w:val="es-ES_tradnl"/>
              </w:rPr>
              <w:t>oficina de gerencia de pErmisos Y QMC TELECOM, llc, proyecto QMC-144 Frontón - Ciales Telecom SIte</w:t>
            </w:r>
            <w:r w:rsidR="00345432" w:rsidRPr="00345432">
              <w:rPr>
                <w:rFonts w:ascii="Arial" w:hAnsi="Arial" w:cs="Arial"/>
                <w:i/>
                <w:caps/>
                <w:lang w:val="es-PR"/>
              </w:rPr>
              <w:t xml:space="preserve"> </w:t>
            </w:r>
          </w:p>
          <w:p w:rsidR="00345432" w:rsidRPr="00345432" w:rsidRDefault="002C4274" w:rsidP="00345432">
            <w:pPr>
              <w:spacing w:after="200" w:line="276" w:lineRule="auto"/>
              <w:jc w:val="center"/>
              <w:rPr>
                <w:rFonts w:ascii="Arial" w:hAnsi="Arial" w:cs="Arial"/>
                <w:b/>
                <w:lang w:val="es-PR"/>
              </w:rPr>
            </w:pPr>
            <w:r>
              <w:rPr>
                <w:rFonts w:ascii="Arial" w:hAnsi="Arial" w:cs="Arial"/>
                <w:b/>
                <w:lang w:val="es-PR"/>
              </w:rPr>
              <w:t>PARTE RECURRIDA</w:t>
            </w:r>
          </w:p>
        </w:tc>
        <w:tc>
          <w:tcPr>
            <w:tcW w:w="4860" w:type="dxa"/>
            <w:tcBorders>
              <w:top w:val="nil"/>
              <w:bottom w:val="nil"/>
              <w:right w:val="nil"/>
            </w:tcBorders>
          </w:tcPr>
          <w:p w:rsidR="00345432" w:rsidRPr="00345432" w:rsidRDefault="00345432" w:rsidP="00345432">
            <w:pPr>
              <w:spacing w:after="200" w:line="276" w:lineRule="auto"/>
              <w:jc w:val="both"/>
              <w:rPr>
                <w:rFonts w:ascii="Arial" w:hAnsi="Arial" w:cs="Arial"/>
                <w:b/>
                <w:lang w:val="es-PR"/>
              </w:rPr>
            </w:pPr>
            <w:r w:rsidRPr="00345432">
              <w:rPr>
                <w:rFonts w:ascii="Arial" w:hAnsi="Arial" w:cs="Arial"/>
                <w:b/>
                <w:lang w:val="es-PR"/>
              </w:rPr>
              <w:t xml:space="preserve">     </w:t>
            </w:r>
          </w:p>
          <w:p w:rsidR="003421B4" w:rsidRDefault="003421B4" w:rsidP="00345432">
            <w:pPr>
              <w:tabs>
                <w:tab w:val="left" w:pos="432"/>
              </w:tabs>
              <w:jc w:val="both"/>
              <w:rPr>
                <w:rFonts w:ascii="Arial" w:hAnsi="Arial" w:cs="Arial"/>
                <w:b/>
                <w:lang w:val="es-PR"/>
              </w:rPr>
            </w:pPr>
            <w:r>
              <w:rPr>
                <w:rFonts w:ascii="Arial" w:hAnsi="Arial" w:cs="Arial"/>
                <w:b/>
                <w:lang w:val="es-PR"/>
              </w:rPr>
              <w:t>NÚM. CASO TS: _________________</w:t>
            </w:r>
          </w:p>
          <w:p w:rsidR="007E089F" w:rsidRDefault="007E089F" w:rsidP="00345432">
            <w:pPr>
              <w:tabs>
                <w:tab w:val="left" w:pos="432"/>
              </w:tabs>
              <w:jc w:val="both"/>
              <w:rPr>
                <w:rFonts w:ascii="Arial" w:hAnsi="Arial" w:cs="Arial"/>
                <w:b/>
                <w:lang w:val="es-PR"/>
              </w:rPr>
            </w:pPr>
          </w:p>
          <w:p w:rsidR="007E089F" w:rsidRDefault="007E089F" w:rsidP="00345432">
            <w:pPr>
              <w:tabs>
                <w:tab w:val="left" w:pos="432"/>
              </w:tabs>
              <w:jc w:val="both"/>
              <w:rPr>
                <w:rFonts w:ascii="Arial" w:hAnsi="Arial" w:cs="Arial"/>
                <w:b/>
                <w:lang w:val="es-PR"/>
              </w:rPr>
            </w:pPr>
          </w:p>
          <w:p w:rsidR="00345432" w:rsidRDefault="00345432" w:rsidP="00345432">
            <w:pPr>
              <w:tabs>
                <w:tab w:val="left" w:pos="432"/>
              </w:tabs>
              <w:jc w:val="both"/>
              <w:rPr>
                <w:rFonts w:ascii="Arial" w:hAnsi="Arial" w:cs="Arial"/>
                <w:b/>
                <w:u w:val="single"/>
                <w:lang w:val="es-PR"/>
              </w:rPr>
            </w:pPr>
            <w:r w:rsidRPr="00345432">
              <w:rPr>
                <w:rFonts w:ascii="Arial" w:hAnsi="Arial" w:cs="Arial"/>
                <w:b/>
                <w:lang w:val="es-PR"/>
              </w:rPr>
              <w:t xml:space="preserve">NÚM. CASO TA: </w:t>
            </w:r>
            <w:r w:rsidR="00A63B34" w:rsidRPr="00A63B34">
              <w:rPr>
                <w:rFonts w:ascii="Arial" w:hAnsi="Arial" w:cs="Arial"/>
                <w:b/>
                <w:u w:val="single"/>
                <w:lang w:val="es-PR"/>
              </w:rPr>
              <w:t>KLRA202200426</w:t>
            </w:r>
          </w:p>
          <w:p w:rsidR="007E089F" w:rsidRPr="007E089F" w:rsidRDefault="007E089F" w:rsidP="00345432">
            <w:pPr>
              <w:tabs>
                <w:tab w:val="left" w:pos="432"/>
              </w:tabs>
              <w:jc w:val="both"/>
              <w:rPr>
                <w:rFonts w:ascii="Arial" w:hAnsi="Arial" w:cs="Arial"/>
                <w:b/>
                <w:lang w:val="es-PR"/>
              </w:rPr>
            </w:pPr>
            <w:r>
              <w:rPr>
                <w:rFonts w:ascii="Arial" w:hAnsi="Arial" w:cs="Arial"/>
                <w:b/>
                <w:lang w:val="es-PR"/>
              </w:rPr>
              <w:t>PANEL NÚM.: X, REGIÓN JUDICIAL DE A</w:t>
            </w:r>
            <w:r w:rsidR="00A63B34">
              <w:rPr>
                <w:rFonts w:ascii="Arial" w:hAnsi="Arial" w:cs="Arial"/>
                <w:b/>
                <w:lang w:val="es-PR"/>
              </w:rPr>
              <w:t>RECIBO</w:t>
            </w:r>
          </w:p>
          <w:p w:rsidR="00345432" w:rsidRPr="00345432" w:rsidRDefault="00345432" w:rsidP="00345432">
            <w:pPr>
              <w:tabs>
                <w:tab w:val="left" w:pos="432"/>
              </w:tabs>
              <w:jc w:val="both"/>
              <w:rPr>
                <w:rFonts w:ascii="Arial" w:hAnsi="Arial" w:cs="Arial"/>
                <w:b/>
                <w:u w:val="single"/>
                <w:lang w:val="es-PR"/>
              </w:rPr>
            </w:pPr>
          </w:p>
          <w:p w:rsidR="00345432" w:rsidRPr="00345432" w:rsidRDefault="00345432" w:rsidP="001902C5">
            <w:pPr>
              <w:spacing w:after="200"/>
              <w:jc w:val="both"/>
              <w:rPr>
                <w:rFonts w:ascii="Arial" w:hAnsi="Arial" w:cs="Arial"/>
                <w:b/>
                <w:lang w:val="es-PR"/>
              </w:rPr>
            </w:pPr>
          </w:p>
        </w:tc>
      </w:tr>
    </w:tbl>
    <w:p w:rsidR="00155BEF" w:rsidRDefault="00155BEF" w:rsidP="00BF172A">
      <w:pPr>
        <w:rPr>
          <w:rFonts w:ascii="Arial" w:hAnsi="Arial" w:cs="Arial"/>
          <w:lang w:val="es-ES_tradnl"/>
        </w:rPr>
      </w:pPr>
    </w:p>
    <w:p w:rsidR="007E089F" w:rsidRPr="00B55561" w:rsidRDefault="007E089F" w:rsidP="00BF172A">
      <w:pPr>
        <w:rPr>
          <w:rFonts w:ascii="Arial" w:hAnsi="Arial" w:cs="Arial"/>
          <w:lang w:val="es-ES_tradnl"/>
        </w:rPr>
      </w:pPr>
    </w:p>
    <w:p w:rsidR="00424AD8" w:rsidRDefault="00A601E6" w:rsidP="00A06E15">
      <w:pPr>
        <w:pStyle w:val="Heading2"/>
        <w:spacing w:line="240" w:lineRule="auto"/>
        <w:ind w:left="0"/>
        <w:rPr>
          <w:rFonts w:ascii="Arial" w:hAnsi="Arial" w:cs="Arial"/>
          <w:iCs/>
          <w:caps/>
          <w:sz w:val="44"/>
          <w:szCs w:val="44"/>
          <w:lang w:val="es-PR"/>
        </w:rPr>
      </w:pPr>
      <w:r>
        <w:rPr>
          <w:rFonts w:ascii="Arial" w:hAnsi="Arial" w:cs="Arial"/>
          <w:iCs/>
          <w:caps/>
          <w:sz w:val="44"/>
          <w:szCs w:val="44"/>
          <w:lang w:val="es-PR"/>
        </w:rPr>
        <w:t>solicit</w:t>
      </w:r>
      <w:r w:rsidR="00F03297">
        <w:rPr>
          <w:rFonts w:ascii="Arial" w:hAnsi="Arial" w:cs="Arial"/>
          <w:iCs/>
          <w:caps/>
          <w:sz w:val="44"/>
          <w:szCs w:val="44"/>
          <w:lang w:val="es-PR"/>
        </w:rPr>
        <w:t>u</w:t>
      </w:r>
      <w:r>
        <w:rPr>
          <w:rFonts w:ascii="Arial" w:hAnsi="Arial" w:cs="Arial"/>
          <w:iCs/>
          <w:caps/>
          <w:sz w:val="44"/>
          <w:szCs w:val="44"/>
          <w:lang w:val="es-PR"/>
        </w:rPr>
        <w:t>d</w:t>
      </w:r>
      <w:r w:rsidR="00F03297">
        <w:rPr>
          <w:rFonts w:ascii="Arial" w:hAnsi="Arial" w:cs="Arial"/>
          <w:iCs/>
          <w:caps/>
          <w:sz w:val="44"/>
          <w:szCs w:val="44"/>
          <w:lang w:val="es-PR"/>
        </w:rPr>
        <w:t xml:space="preserve"> </w:t>
      </w:r>
      <w:r w:rsidR="007E089F">
        <w:rPr>
          <w:rFonts w:ascii="Arial" w:hAnsi="Arial" w:cs="Arial"/>
          <w:iCs/>
          <w:caps/>
          <w:sz w:val="44"/>
          <w:szCs w:val="44"/>
          <w:lang w:val="es-PR"/>
        </w:rPr>
        <w:t xml:space="preserve">DE EXPEDICIÓN DE AUTO DE </w:t>
      </w:r>
      <w:r w:rsidR="007E089F">
        <w:rPr>
          <w:rFonts w:ascii="Arial" w:hAnsi="Arial" w:cs="Arial"/>
          <w:i/>
          <w:iCs/>
          <w:caps/>
          <w:sz w:val="44"/>
          <w:szCs w:val="44"/>
          <w:lang w:val="es-PR"/>
        </w:rPr>
        <w:t>CERTIORARI</w:t>
      </w:r>
      <w:r w:rsidR="00CE5326" w:rsidRPr="00B55561">
        <w:rPr>
          <w:rFonts w:ascii="Arial" w:hAnsi="Arial" w:cs="Arial"/>
          <w:iCs/>
          <w:caps/>
          <w:sz w:val="44"/>
          <w:szCs w:val="44"/>
          <w:lang w:val="es-PR"/>
        </w:rPr>
        <w:t xml:space="preserve"> </w:t>
      </w:r>
    </w:p>
    <w:p w:rsidR="007E089F" w:rsidRPr="007E089F" w:rsidRDefault="007E089F" w:rsidP="007E089F">
      <w:pPr>
        <w:rPr>
          <w:lang w:val="es-PR"/>
        </w:rPr>
      </w:pPr>
    </w:p>
    <w:p w:rsidR="00A06E15" w:rsidRPr="00A06E15" w:rsidRDefault="00A06E15" w:rsidP="00A06E15">
      <w:pPr>
        <w:rPr>
          <w:lang w:val="es-PR"/>
        </w:rPr>
      </w:pPr>
    </w:p>
    <w:p w:rsidR="00BF172A" w:rsidRPr="00B55561" w:rsidRDefault="00BF172A" w:rsidP="00BF172A">
      <w:pPr>
        <w:spacing w:line="480" w:lineRule="auto"/>
        <w:rPr>
          <w:rFonts w:ascii="Arial" w:hAnsi="Arial" w:cs="Arial"/>
          <w:b/>
          <w:bCs/>
          <w:lang w:val="es-ES_tradnl"/>
        </w:rPr>
      </w:pPr>
      <w:r w:rsidRPr="00B55561">
        <w:rPr>
          <w:rFonts w:ascii="Arial" w:hAnsi="Arial" w:cs="Arial"/>
          <w:b/>
          <w:bCs/>
          <w:lang w:val="es-ES_tradnl"/>
        </w:rPr>
        <w:t>AL HONORABLE TRIBUNAL</w:t>
      </w:r>
      <w:r w:rsidR="00F03297">
        <w:rPr>
          <w:rFonts w:ascii="Arial" w:hAnsi="Arial" w:cs="Arial"/>
          <w:b/>
          <w:bCs/>
          <w:lang w:val="es-ES_tradnl"/>
        </w:rPr>
        <w:t xml:space="preserve"> SUPREMO</w:t>
      </w:r>
      <w:r w:rsidRPr="00B55561">
        <w:rPr>
          <w:rFonts w:ascii="Arial" w:hAnsi="Arial" w:cs="Arial"/>
          <w:b/>
          <w:bCs/>
          <w:lang w:val="es-ES_tradnl"/>
        </w:rPr>
        <w:t>:</w:t>
      </w:r>
    </w:p>
    <w:p w:rsidR="007E089F" w:rsidRDefault="007E089F" w:rsidP="007E089F">
      <w:pPr>
        <w:pStyle w:val="BodyText"/>
        <w:numPr>
          <w:ilvl w:val="0"/>
          <w:numId w:val="16"/>
        </w:numPr>
        <w:ind w:left="360"/>
        <w:jc w:val="both"/>
        <w:rPr>
          <w:rFonts w:ascii="Arial" w:hAnsi="Arial" w:cs="Arial"/>
          <w:b/>
          <w:bCs/>
          <w:sz w:val="24"/>
        </w:rPr>
      </w:pPr>
      <w:r>
        <w:rPr>
          <w:rFonts w:ascii="Arial" w:hAnsi="Arial" w:cs="Arial"/>
          <w:b/>
          <w:bCs/>
          <w:sz w:val="24"/>
        </w:rPr>
        <w:t>COMPARECENCIA:</w:t>
      </w:r>
    </w:p>
    <w:p w:rsidR="005835D4" w:rsidRPr="007E089F" w:rsidRDefault="00BF172A" w:rsidP="007E089F">
      <w:pPr>
        <w:pStyle w:val="BodyText"/>
        <w:ind w:firstLine="360"/>
        <w:jc w:val="both"/>
        <w:rPr>
          <w:rFonts w:ascii="Arial" w:hAnsi="Arial" w:cs="Arial"/>
          <w:b/>
          <w:bCs/>
          <w:sz w:val="24"/>
        </w:rPr>
      </w:pPr>
      <w:r w:rsidRPr="007E089F">
        <w:rPr>
          <w:rFonts w:ascii="Arial" w:hAnsi="Arial" w:cs="Arial"/>
          <w:b/>
          <w:sz w:val="24"/>
        </w:rPr>
        <w:t>COMPARECE</w:t>
      </w:r>
      <w:r w:rsidR="00A63B34">
        <w:rPr>
          <w:rFonts w:ascii="Arial" w:hAnsi="Arial" w:cs="Arial"/>
          <w:sz w:val="24"/>
        </w:rPr>
        <w:t xml:space="preserve"> la parte peticionaria</w:t>
      </w:r>
      <w:r w:rsidR="00B55561" w:rsidRPr="007E089F">
        <w:rPr>
          <w:rFonts w:ascii="Arial" w:hAnsi="Arial" w:cs="Arial"/>
          <w:sz w:val="24"/>
        </w:rPr>
        <w:t xml:space="preserve"> de epígrafe, </w:t>
      </w:r>
      <w:r w:rsidR="00A63B34" w:rsidRPr="007E089F">
        <w:rPr>
          <w:rFonts w:ascii="Arial" w:hAnsi="Arial" w:cs="Arial"/>
          <w:sz w:val="24"/>
        </w:rPr>
        <w:t xml:space="preserve">sr. </w:t>
      </w:r>
      <w:r w:rsidR="00A63B34">
        <w:rPr>
          <w:rFonts w:ascii="Arial" w:hAnsi="Arial" w:cs="Arial"/>
          <w:sz w:val="24"/>
        </w:rPr>
        <w:t>H</w:t>
      </w:r>
      <w:r w:rsidR="00A63B34" w:rsidRPr="00A63B34">
        <w:rPr>
          <w:rFonts w:ascii="Arial" w:hAnsi="Arial" w:cs="Arial"/>
          <w:sz w:val="24"/>
        </w:rPr>
        <w:t xml:space="preserve">éctor </w:t>
      </w:r>
      <w:r w:rsidR="00A63B34">
        <w:rPr>
          <w:rFonts w:ascii="Arial" w:hAnsi="Arial" w:cs="Arial"/>
          <w:sz w:val="24"/>
        </w:rPr>
        <w:t>M</w:t>
      </w:r>
      <w:r w:rsidR="00A63B34" w:rsidRPr="00A63B34">
        <w:rPr>
          <w:rFonts w:ascii="Arial" w:hAnsi="Arial" w:cs="Arial"/>
          <w:sz w:val="24"/>
        </w:rPr>
        <w:t xml:space="preserve">. </w:t>
      </w:r>
      <w:r w:rsidR="00A63B34">
        <w:rPr>
          <w:rFonts w:ascii="Arial" w:hAnsi="Arial" w:cs="Arial"/>
          <w:sz w:val="24"/>
        </w:rPr>
        <w:t>T</w:t>
      </w:r>
      <w:r w:rsidR="00A63B34" w:rsidRPr="00A63B34">
        <w:rPr>
          <w:rFonts w:ascii="Arial" w:hAnsi="Arial" w:cs="Arial"/>
          <w:sz w:val="24"/>
        </w:rPr>
        <w:t xml:space="preserve">orres </w:t>
      </w:r>
      <w:r w:rsidR="00A63B34">
        <w:rPr>
          <w:rFonts w:ascii="Arial" w:hAnsi="Arial" w:cs="Arial"/>
          <w:sz w:val="24"/>
        </w:rPr>
        <w:t>T</w:t>
      </w:r>
      <w:r w:rsidR="00A63B34" w:rsidRPr="00A63B34">
        <w:rPr>
          <w:rFonts w:ascii="Arial" w:hAnsi="Arial" w:cs="Arial"/>
          <w:sz w:val="24"/>
        </w:rPr>
        <w:t xml:space="preserve">rinidad, </w:t>
      </w:r>
      <w:r w:rsidR="00A63B34">
        <w:rPr>
          <w:rFonts w:ascii="Arial" w:hAnsi="Arial" w:cs="Arial"/>
          <w:sz w:val="24"/>
        </w:rPr>
        <w:t>Sr. F</w:t>
      </w:r>
      <w:r w:rsidR="00A63B34" w:rsidRPr="00A63B34">
        <w:rPr>
          <w:rFonts w:ascii="Arial" w:hAnsi="Arial" w:cs="Arial"/>
          <w:sz w:val="24"/>
        </w:rPr>
        <w:t xml:space="preserve">élix </w:t>
      </w:r>
      <w:r w:rsidR="00A63B34">
        <w:rPr>
          <w:rFonts w:ascii="Arial" w:hAnsi="Arial" w:cs="Arial"/>
          <w:sz w:val="24"/>
        </w:rPr>
        <w:t>O</w:t>
      </w:r>
      <w:r w:rsidR="00A63B34" w:rsidRPr="00A63B34">
        <w:rPr>
          <w:rFonts w:ascii="Arial" w:hAnsi="Arial" w:cs="Arial"/>
          <w:sz w:val="24"/>
        </w:rPr>
        <w:t xml:space="preserve">casio </w:t>
      </w:r>
      <w:r w:rsidR="00A63B34">
        <w:rPr>
          <w:rFonts w:ascii="Arial" w:hAnsi="Arial" w:cs="Arial"/>
          <w:sz w:val="24"/>
        </w:rPr>
        <w:t>C</w:t>
      </w:r>
      <w:r w:rsidR="00A63B34" w:rsidRPr="00A63B34">
        <w:rPr>
          <w:rFonts w:ascii="Arial" w:hAnsi="Arial" w:cs="Arial"/>
          <w:sz w:val="24"/>
        </w:rPr>
        <w:t xml:space="preserve">olón, </w:t>
      </w:r>
      <w:r w:rsidR="00A63B34">
        <w:rPr>
          <w:rFonts w:ascii="Arial" w:hAnsi="Arial" w:cs="Arial"/>
          <w:sz w:val="24"/>
        </w:rPr>
        <w:t>Sr. F</w:t>
      </w:r>
      <w:r w:rsidR="00A63B34" w:rsidRPr="00A63B34">
        <w:rPr>
          <w:rFonts w:ascii="Arial" w:hAnsi="Arial" w:cs="Arial"/>
          <w:sz w:val="24"/>
        </w:rPr>
        <w:t xml:space="preserve">rancisco </w:t>
      </w:r>
      <w:r w:rsidR="00A63B34">
        <w:rPr>
          <w:rFonts w:ascii="Arial" w:hAnsi="Arial" w:cs="Arial"/>
          <w:sz w:val="24"/>
        </w:rPr>
        <w:t>M</w:t>
      </w:r>
      <w:r w:rsidR="00A63B34" w:rsidRPr="00A63B34">
        <w:rPr>
          <w:rFonts w:ascii="Arial" w:hAnsi="Arial" w:cs="Arial"/>
          <w:sz w:val="24"/>
        </w:rPr>
        <w:t xml:space="preserve">arina </w:t>
      </w:r>
      <w:r w:rsidR="00A63B34">
        <w:rPr>
          <w:rFonts w:ascii="Arial" w:hAnsi="Arial" w:cs="Arial"/>
          <w:sz w:val="24"/>
        </w:rPr>
        <w:t>D</w:t>
      </w:r>
      <w:r w:rsidR="00A63B34" w:rsidRPr="00A63B34">
        <w:rPr>
          <w:rFonts w:ascii="Arial" w:hAnsi="Arial" w:cs="Arial"/>
          <w:sz w:val="24"/>
        </w:rPr>
        <w:t xml:space="preserve">uran y </w:t>
      </w:r>
      <w:r w:rsidR="00A63B34">
        <w:rPr>
          <w:rFonts w:ascii="Arial" w:hAnsi="Arial" w:cs="Arial"/>
          <w:sz w:val="24"/>
        </w:rPr>
        <w:t>Sr. A</w:t>
      </w:r>
      <w:r w:rsidR="00A63B34" w:rsidRPr="00A63B34">
        <w:rPr>
          <w:rFonts w:ascii="Arial" w:hAnsi="Arial" w:cs="Arial"/>
          <w:sz w:val="24"/>
        </w:rPr>
        <w:t xml:space="preserve">rmando </w:t>
      </w:r>
      <w:r w:rsidR="00A63B34">
        <w:rPr>
          <w:rFonts w:ascii="Arial" w:hAnsi="Arial" w:cs="Arial"/>
          <w:sz w:val="24"/>
        </w:rPr>
        <w:t>C</w:t>
      </w:r>
      <w:r w:rsidR="00A63B34" w:rsidRPr="00A63B34">
        <w:rPr>
          <w:rFonts w:ascii="Arial" w:hAnsi="Arial" w:cs="Arial"/>
          <w:sz w:val="24"/>
        </w:rPr>
        <w:t xml:space="preserve">arlo </w:t>
      </w:r>
      <w:r w:rsidR="00A63B34">
        <w:rPr>
          <w:rFonts w:ascii="Arial" w:hAnsi="Arial" w:cs="Arial"/>
          <w:sz w:val="24"/>
        </w:rPr>
        <w:t>A</w:t>
      </w:r>
      <w:r w:rsidR="00A63B34" w:rsidRPr="00A63B34">
        <w:rPr>
          <w:rFonts w:ascii="Arial" w:hAnsi="Arial" w:cs="Arial"/>
          <w:sz w:val="24"/>
        </w:rPr>
        <w:t xml:space="preserve">sencio </w:t>
      </w:r>
      <w:r w:rsidR="00A63B34">
        <w:rPr>
          <w:rFonts w:ascii="Arial" w:hAnsi="Arial" w:cs="Arial"/>
          <w:sz w:val="24"/>
        </w:rPr>
        <w:t>R</w:t>
      </w:r>
      <w:r w:rsidR="00A63B34" w:rsidRPr="00A63B34">
        <w:rPr>
          <w:rFonts w:ascii="Arial" w:hAnsi="Arial" w:cs="Arial"/>
          <w:sz w:val="24"/>
        </w:rPr>
        <w:t>osado</w:t>
      </w:r>
      <w:r w:rsidR="00B55561" w:rsidRPr="007E089F">
        <w:rPr>
          <w:rFonts w:ascii="Arial" w:hAnsi="Arial" w:cs="Arial"/>
          <w:sz w:val="24"/>
        </w:rPr>
        <w:t xml:space="preserve">, </w:t>
      </w:r>
      <w:r w:rsidR="008360B7" w:rsidRPr="007E089F">
        <w:rPr>
          <w:rFonts w:ascii="Arial" w:hAnsi="Arial" w:cs="Arial"/>
          <w:sz w:val="24"/>
        </w:rPr>
        <w:t>a través de su</w:t>
      </w:r>
      <w:r w:rsidR="00052303" w:rsidRPr="007E089F">
        <w:rPr>
          <w:rFonts w:ascii="Arial" w:hAnsi="Arial" w:cs="Arial"/>
          <w:sz w:val="24"/>
        </w:rPr>
        <w:t xml:space="preserve"> </w:t>
      </w:r>
      <w:r w:rsidR="008360B7" w:rsidRPr="007E089F">
        <w:rPr>
          <w:rFonts w:ascii="Arial" w:hAnsi="Arial" w:cs="Arial"/>
          <w:sz w:val="24"/>
        </w:rPr>
        <w:t>represent</w:t>
      </w:r>
      <w:r w:rsidR="00334411" w:rsidRPr="007E089F">
        <w:rPr>
          <w:rFonts w:ascii="Arial" w:hAnsi="Arial" w:cs="Arial"/>
          <w:sz w:val="24"/>
        </w:rPr>
        <w:t>ación</w:t>
      </w:r>
      <w:r w:rsidR="00A06E15" w:rsidRPr="007E089F">
        <w:rPr>
          <w:rFonts w:ascii="Arial" w:hAnsi="Arial" w:cs="Arial"/>
          <w:sz w:val="24"/>
        </w:rPr>
        <w:t xml:space="preserve"> legal que suscribe y</w:t>
      </w:r>
      <w:r w:rsidRPr="007E089F">
        <w:rPr>
          <w:rFonts w:ascii="Arial" w:hAnsi="Arial" w:cs="Arial"/>
          <w:sz w:val="24"/>
        </w:rPr>
        <w:t xml:space="preserve"> respetuosamente </w:t>
      </w:r>
      <w:r w:rsidRPr="007E089F">
        <w:rPr>
          <w:rFonts w:ascii="Arial" w:hAnsi="Arial" w:cs="Arial"/>
          <w:b/>
          <w:bCs/>
          <w:sz w:val="24"/>
        </w:rPr>
        <w:t>EXPONE, ALEGA y SOLICITA:</w:t>
      </w:r>
    </w:p>
    <w:p w:rsidR="00343DB0" w:rsidRPr="00343DB0" w:rsidRDefault="00343DB0" w:rsidP="00343DB0">
      <w:pPr>
        <w:pStyle w:val="BodyText"/>
        <w:numPr>
          <w:ilvl w:val="0"/>
          <w:numId w:val="16"/>
        </w:numPr>
        <w:ind w:left="360"/>
        <w:jc w:val="both"/>
        <w:rPr>
          <w:rFonts w:ascii="Arial" w:hAnsi="Arial" w:cs="Arial"/>
          <w:b/>
          <w:bCs/>
          <w:sz w:val="24"/>
        </w:rPr>
      </w:pPr>
      <w:r w:rsidRPr="00343DB0">
        <w:rPr>
          <w:rFonts w:ascii="Arial" w:hAnsi="Arial" w:cs="Arial"/>
          <w:b/>
          <w:bCs/>
          <w:sz w:val="24"/>
          <w:lang w:val="es-PR"/>
        </w:rPr>
        <w:t xml:space="preserve">DISPOSICIONES LEGALES </w:t>
      </w:r>
      <w:r w:rsidR="007E089F">
        <w:rPr>
          <w:rFonts w:ascii="Arial" w:hAnsi="Arial" w:cs="Arial"/>
          <w:b/>
          <w:bCs/>
          <w:sz w:val="24"/>
          <w:lang w:val="es-PR"/>
        </w:rPr>
        <w:t>JURISDICCIÓN Y COMPETENCIA</w:t>
      </w:r>
      <w:r w:rsidRPr="00343DB0">
        <w:rPr>
          <w:rFonts w:ascii="Arial" w:hAnsi="Arial" w:cs="Arial"/>
          <w:b/>
          <w:bCs/>
          <w:sz w:val="24"/>
          <w:lang w:val="es-PR"/>
        </w:rPr>
        <w:t xml:space="preserve"> DEL TRIBUNAL</w:t>
      </w:r>
    </w:p>
    <w:p w:rsidR="00343DB0" w:rsidRPr="00B376AA" w:rsidRDefault="00343DB0" w:rsidP="00343DB0">
      <w:pPr>
        <w:pStyle w:val="BodyText"/>
        <w:ind w:firstLine="360"/>
        <w:jc w:val="both"/>
        <w:rPr>
          <w:rFonts w:ascii="Arial" w:hAnsi="Arial" w:cs="Arial"/>
          <w:b/>
          <w:bCs/>
          <w:sz w:val="24"/>
          <w:lang w:val="es-PR"/>
        </w:rPr>
      </w:pPr>
      <w:r w:rsidRPr="00343DB0">
        <w:rPr>
          <w:rFonts w:ascii="Arial" w:hAnsi="Arial" w:cs="Arial"/>
          <w:bCs/>
          <w:sz w:val="24"/>
          <w:lang w:val="es-PR"/>
        </w:rPr>
        <w:t xml:space="preserve"> Se invoca la jurisdicción de este Honorable Tribunal </w:t>
      </w:r>
      <w:r>
        <w:rPr>
          <w:rFonts w:ascii="Arial" w:hAnsi="Arial" w:cs="Arial"/>
          <w:bCs/>
          <w:sz w:val="24"/>
          <w:lang w:val="es-PR"/>
        </w:rPr>
        <w:t>Supremo</w:t>
      </w:r>
      <w:r w:rsidRPr="00343DB0">
        <w:rPr>
          <w:rFonts w:ascii="Arial" w:hAnsi="Arial" w:cs="Arial"/>
          <w:bCs/>
          <w:sz w:val="24"/>
          <w:lang w:val="es-PR"/>
        </w:rPr>
        <w:t xml:space="preserve"> en virtud de lo dispuesto por el </w:t>
      </w:r>
      <w:r w:rsidRPr="00343DB0">
        <w:rPr>
          <w:rFonts w:ascii="Arial" w:hAnsi="Arial" w:cs="Arial"/>
          <w:b/>
          <w:bCs/>
          <w:sz w:val="24"/>
          <w:lang w:val="es-PR"/>
        </w:rPr>
        <w:t xml:space="preserve">Artículo V, sec. 2, Constitución del Estado Libre Asociado de Puerto Rico; </w:t>
      </w:r>
      <w:r w:rsidRPr="00343DB0">
        <w:rPr>
          <w:rFonts w:ascii="Arial" w:hAnsi="Arial" w:cs="Arial"/>
          <w:bCs/>
          <w:sz w:val="24"/>
          <w:lang w:val="es-PR"/>
        </w:rPr>
        <w:t xml:space="preserve">el </w:t>
      </w:r>
      <w:r w:rsidRPr="00343DB0">
        <w:rPr>
          <w:rFonts w:ascii="Arial" w:hAnsi="Arial" w:cs="Arial"/>
          <w:b/>
          <w:bCs/>
          <w:sz w:val="24"/>
          <w:lang w:val="es-PR"/>
        </w:rPr>
        <w:t xml:space="preserve">artículo 2.001 de la Ley de la Judicatura, Ley Núm. 201-2003, </w:t>
      </w:r>
      <w:r w:rsidRPr="00343DB0">
        <w:rPr>
          <w:rFonts w:ascii="Arial" w:hAnsi="Arial" w:cs="Arial"/>
          <w:b/>
          <w:bCs/>
          <w:i/>
          <w:iCs/>
          <w:sz w:val="24"/>
          <w:lang w:val="es-PR"/>
        </w:rPr>
        <w:t>4 L.P.R.A. sec. 24(b)</w:t>
      </w:r>
      <w:r w:rsidRPr="00343DB0">
        <w:rPr>
          <w:rFonts w:ascii="Arial" w:hAnsi="Arial" w:cs="Arial"/>
          <w:bCs/>
          <w:sz w:val="24"/>
          <w:lang w:val="es-PR"/>
        </w:rPr>
        <w:t>; l</w:t>
      </w:r>
      <w:r w:rsidR="008538DC">
        <w:rPr>
          <w:rFonts w:ascii="Arial" w:hAnsi="Arial" w:cs="Arial"/>
          <w:bCs/>
          <w:sz w:val="24"/>
          <w:lang w:val="es-PR"/>
        </w:rPr>
        <w:t>a</w:t>
      </w:r>
      <w:r w:rsidRPr="00343DB0">
        <w:rPr>
          <w:rFonts w:ascii="Arial" w:hAnsi="Arial" w:cs="Arial"/>
          <w:bCs/>
          <w:sz w:val="24"/>
          <w:lang w:val="es-PR"/>
        </w:rPr>
        <w:t xml:space="preserve"> </w:t>
      </w:r>
      <w:r w:rsidR="008538DC">
        <w:rPr>
          <w:rFonts w:ascii="Arial" w:hAnsi="Arial" w:cs="Arial"/>
          <w:b/>
          <w:bCs/>
          <w:sz w:val="24"/>
          <w:lang w:val="es-PR"/>
        </w:rPr>
        <w:t>sec. 4.7, Ley Núm. 38-2017</w:t>
      </w:r>
      <w:r w:rsidRPr="00343DB0">
        <w:rPr>
          <w:rFonts w:ascii="Arial" w:hAnsi="Arial" w:cs="Arial"/>
          <w:b/>
          <w:bCs/>
          <w:sz w:val="24"/>
          <w:lang w:val="es-PR"/>
        </w:rPr>
        <w:t xml:space="preserve">, </w:t>
      </w:r>
      <w:r w:rsidR="008538DC">
        <w:rPr>
          <w:rFonts w:ascii="Arial" w:hAnsi="Arial" w:cs="Arial"/>
          <w:b/>
          <w:bCs/>
          <w:i/>
          <w:iCs/>
          <w:sz w:val="24"/>
          <w:lang w:val="es-PR"/>
        </w:rPr>
        <w:t>3 L.P.R.A.</w:t>
      </w:r>
      <w:r w:rsidR="008538DC" w:rsidRPr="008538DC">
        <w:rPr>
          <w:rFonts w:ascii="Arial" w:hAnsi="Arial" w:cs="Arial"/>
          <w:b/>
          <w:bCs/>
          <w:i/>
          <w:iCs/>
          <w:sz w:val="24"/>
          <w:lang w:val="es-PR"/>
        </w:rPr>
        <w:t xml:space="preserve"> 9677</w:t>
      </w:r>
      <w:r w:rsidR="00A63B34">
        <w:rPr>
          <w:rFonts w:ascii="Arial" w:hAnsi="Arial" w:cs="Arial"/>
          <w:bCs/>
          <w:iCs/>
          <w:sz w:val="24"/>
          <w:lang w:val="es-PR"/>
        </w:rPr>
        <w:t xml:space="preserve">, </w:t>
      </w:r>
      <w:r w:rsidR="00B376AA">
        <w:rPr>
          <w:rFonts w:ascii="Arial" w:hAnsi="Arial" w:cs="Arial"/>
          <w:bCs/>
          <w:iCs/>
          <w:sz w:val="24"/>
          <w:lang w:val="es-PR"/>
        </w:rPr>
        <w:t xml:space="preserve">por conducto del </w:t>
      </w:r>
      <w:r w:rsidR="00B376AA">
        <w:rPr>
          <w:rFonts w:ascii="Arial" w:hAnsi="Arial" w:cs="Arial"/>
          <w:b/>
          <w:bCs/>
          <w:iCs/>
          <w:sz w:val="24"/>
          <w:lang w:val="es-PR"/>
        </w:rPr>
        <w:t xml:space="preserve">art. 18.6, Ley Núm. 161-2009, </w:t>
      </w:r>
      <w:r w:rsidR="00B376AA">
        <w:rPr>
          <w:rFonts w:ascii="Arial" w:hAnsi="Arial" w:cs="Arial"/>
          <w:b/>
          <w:bCs/>
          <w:i/>
          <w:iCs/>
          <w:sz w:val="24"/>
          <w:lang w:val="es-PR"/>
        </w:rPr>
        <w:t>23 L.P.R.A. 9028e</w:t>
      </w:r>
      <w:r w:rsidR="00F31771">
        <w:rPr>
          <w:rFonts w:ascii="Arial" w:hAnsi="Arial" w:cs="Arial"/>
          <w:bCs/>
          <w:iCs/>
          <w:sz w:val="24"/>
          <w:lang w:val="es-PR"/>
        </w:rPr>
        <w:t>;</w:t>
      </w:r>
      <w:r w:rsidR="00B376AA">
        <w:rPr>
          <w:rFonts w:ascii="Arial" w:hAnsi="Arial" w:cs="Arial"/>
          <w:bCs/>
          <w:iCs/>
          <w:sz w:val="24"/>
          <w:lang w:val="es-PR"/>
        </w:rPr>
        <w:t xml:space="preserve"> la </w:t>
      </w:r>
      <w:r w:rsidR="00B376AA">
        <w:rPr>
          <w:rFonts w:ascii="Arial" w:hAnsi="Arial" w:cs="Arial"/>
          <w:b/>
          <w:bCs/>
          <w:iCs/>
          <w:sz w:val="24"/>
          <w:lang w:val="es-PR"/>
        </w:rPr>
        <w:t xml:space="preserve">Regla 20(a)(5), del </w:t>
      </w:r>
      <w:r w:rsidR="00B376AA" w:rsidRPr="00B376AA">
        <w:rPr>
          <w:rFonts w:ascii="Arial" w:hAnsi="Arial" w:cs="Arial"/>
          <w:b/>
          <w:bCs/>
          <w:iCs/>
          <w:sz w:val="24"/>
          <w:lang w:val="es-PR"/>
        </w:rPr>
        <w:t xml:space="preserve">Reglamento del Tribunal Supremo, </w:t>
      </w:r>
      <w:r w:rsidR="00B376AA" w:rsidRPr="00B376AA">
        <w:rPr>
          <w:rFonts w:ascii="Arial" w:hAnsi="Arial" w:cs="Arial"/>
          <w:b/>
          <w:bCs/>
          <w:i/>
          <w:iCs/>
          <w:sz w:val="24"/>
          <w:lang w:val="es-PR"/>
        </w:rPr>
        <w:t>4A L.P.R.A. Ap. XXIII-B, R. 20</w:t>
      </w:r>
      <w:r w:rsidR="00F31771">
        <w:rPr>
          <w:rFonts w:ascii="Arial" w:hAnsi="Arial" w:cs="Arial"/>
          <w:bCs/>
          <w:iCs/>
          <w:sz w:val="24"/>
          <w:lang w:val="es-PR"/>
        </w:rPr>
        <w:t xml:space="preserve">; y lo resuelto por este Hon. Tribunal Supremo en los casos </w:t>
      </w:r>
      <w:r w:rsidR="00F31771" w:rsidRPr="00F909F2">
        <w:rPr>
          <w:rFonts w:ascii="Arial" w:hAnsi="Arial" w:cs="Arial"/>
          <w:bCs/>
          <w:iCs/>
          <w:sz w:val="24"/>
          <w:u w:val="single"/>
          <w:lang w:val="es-PR"/>
        </w:rPr>
        <w:t>Asociación de Residentes Parque Montebello v Montebello Development Corp.</w:t>
      </w:r>
      <w:r w:rsidR="00F31771">
        <w:rPr>
          <w:rFonts w:ascii="Arial" w:hAnsi="Arial" w:cs="Arial"/>
          <w:bCs/>
          <w:iCs/>
          <w:sz w:val="24"/>
          <w:lang w:val="es-PR"/>
        </w:rPr>
        <w:t xml:space="preserve">, </w:t>
      </w:r>
      <w:r w:rsidR="00F31771" w:rsidRPr="00F31771">
        <w:rPr>
          <w:rFonts w:ascii="Arial" w:hAnsi="Arial" w:cs="Arial"/>
          <w:bCs/>
          <w:iCs/>
          <w:sz w:val="24"/>
          <w:lang w:val="es-PR"/>
        </w:rPr>
        <w:t>138 D</w:t>
      </w:r>
      <w:r w:rsidR="00F31771">
        <w:rPr>
          <w:rFonts w:ascii="Arial" w:hAnsi="Arial" w:cs="Arial"/>
          <w:bCs/>
          <w:iCs/>
          <w:sz w:val="24"/>
          <w:lang w:val="es-PR"/>
        </w:rPr>
        <w:t>.</w:t>
      </w:r>
      <w:r w:rsidR="00F31771" w:rsidRPr="00F31771">
        <w:rPr>
          <w:rFonts w:ascii="Arial" w:hAnsi="Arial" w:cs="Arial"/>
          <w:bCs/>
          <w:iCs/>
          <w:sz w:val="24"/>
          <w:lang w:val="es-PR"/>
        </w:rPr>
        <w:t>P</w:t>
      </w:r>
      <w:r w:rsidR="00F31771">
        <w:rPr>
          <w:rFonts w:ascii="Arial" w:hAnsi="Arial" w:cs="Arial"/>
          <w:bCs/>
          <w:iCs/>
          <w:sz w:val="24"/>
          <w:lang w:val="es-PR"/>
        </w:rPr>
        <w:t>.</w:t>
      </w:r>
      <w:r w:rsidR="00F31771" w:rsidRPr="00F31771">
        <w:rPr>
          <w:rFonts w:ascii="Arial" w:hAnsi="Arial" w:cs="Arial"/>
          <w:bCs/>
          <w:iCs/>
          <w:sz w:val="24"/>
          <w:lang w:val="es-PR"/>
        </w:rPr>
        <w:t>R</w:t>
      </w:r>
      <w:r w:rsidR="00F31771">
        <w:rPr>
          <w:rFonts w:ascii="Arial" w:hAnsi="Arial" w:cs="Arial"/>
          <w:bCs/>
          <w:iCs/>
          <w:sz w:val="24"/>
          <w:lang w:val="es-PR"/>
        </w:rPr>
        <w:t>.</w:t>
      </w:r>
      <w:r w:rsidR="00F31771" w:rsidRPr="00F31771">
        <w:rPr>
          <w:rFonts w:ascii="Arial" w:hAnsi="Arial" w:cs="Arial"/>
          <w:bCs/>
          <w:iCs/>
          <w:sz w:val="24"/>
          <w:lang w:val="es-PR"/>
        </w:rPr>
        <w:t xml:space="preserve"> 412</w:t>
      </w:r>
      <w:r w:rsidR="00F31771">
        <w:rPr>
          <w:rFonts w:ascii="Arial" w:hAnsi="Arial" w:cs="Arial"/>
          <w:bCs/>
          <w:iCs/>
          <w:sz w:val="24"/>
          <w:lang w:val="es-PR"/>
        </w:rPr>
        <w:t xml:space="preserve"> (1995) y </w:t>
      </w:r>
      <w:r w:rsidR="00F909F2">
        <w:rPr>
          <w:rFonts w:ascii="Arial" w:hAnsi="Arial" w:cs="Arial"/>
          <w:bCs/>
          <w:iCs/>
          <w:sz w:val="24"/>
          <w:lang w:val="es-PR"/>
        </w:rPr>
        <w:t>su progenie</w:t>
      </w:r>
      <w:r w:rsidR="00B376AA">
        <w:rPr>
          <w:rFonts w:ascii="Arial" w:hAnsi="Arial" w:cs="Arial"/>
          <w:b/>
          <w:bCs/>
          <w:i/>
          <w:iCs/>
          <w:sz w:val="24"/>
          <w:lang w:val="es-PR"/>
        </w:rPr>
        <w:t>.</w:t>
      </w:r>
    </w:p>
    <w:p w:rsidR="00343DB0" w:rsidRPr="00B376AA" w:rsidRDefault="00343DB0" w:rsidP="00343DB0">
      <w:pPr>
        <w:pStyle w:val="BodyText"/>
        <w:ind w:firstLine="360"/>
        <w:jc w:val="both"/>
        <w:rPr>
          <w:rFonts w:ascii="Arial" w:hAnsi="Arial" w:cs="Arial"/>
          <w:bCs/>
          <w:sz w:val="24"/>
          <w:lang w:val="es-PR"/>
        </w:rPr>
      </w:pPr>
      <w:r w:rsidRPr="00343DB0">
        <w:rPr>
          <w:rFonts w:ascii="Arial" w:hAnsi="Arial" w:cs="Arial"/>
          <w:bCs/>
          <w:sz w:val="24"/>
          <w:lang w:val="es-PR"/>
        </w:rPr>
        <w:t xml:space="preserve">Se invoca la competencia de este Honorable Tribunal en virtud de lo dispuesto por el </w:t>
      </w:r>
      <w:r w:rsidRPr="00343DB0">
        <w:rPr>
          <w:rFonts w:ascii="Arial" w:hAnsi="Arial" w:cs="Arial"/>
          <w:b/>
          <w:bCs/>
          <w:sz w:val="24"/>
          <w:lang w:val="es-PR"/>
        </w:rPr>
        <w:t>Artículo V, sec. 2, Const.</w:t>
      </w:r>
      <w:r w:rsidR="00C322CA">
        <w:rPr>
          <w:rFonts w:ascii="Arial" w:hAnsi="Arial" w:cs="Arial"/>
          <w:b/>
          <w:bCs/>
          <w:sz w:val="24"/>
          <w:lang w:val="es-PR"/>
        </w:rPr>
        <w:t xml:space="preserve"> E.L.A.</w:t>
      </w:r>
      <w:r w:rsidRPr="00343DB0">
        <w:rPr>
          <w:rFonts w:ascii="Arial" w:hAnsi="Arial" w:cs="Arial"/>
          <w:b/>
          <w:bCs/>
          <w:sz w:val="24"/>
          <w:lang w:val="es-PR"/>
        </w:rPr>
        <w:t xml:space="preserve">, </w:t>
      </w:r>
      <w:r w:rsidRPr="00343DB0">
        <w:rPr>
          <w:rFonts w:ascii="Arial" w:hAnsi="Arial" w:cs="Arial"/>
          <w:b/>
          <w:bCs/>
          <w:i/>
          <w:iCs/>
          <w:sz w:val="24"/>
          <w:lang w:val="es-PR"/>
        </w:rPr>
        <w:t>supra</w:t>
      </w:r>
      <w:r w:rsidRPr="00343DB0">
        <w:rPr>
          <w:rFonts w:ascii="Arial" w:hAnsi="Arial" w:cs="Arial"/>
          <w:bCs/>
          <w:sz w:val="24"/>
          <w:lang w:val="es-PR"/>
        </w:rPr>
        <w:t xml:space="preserve">; el </w:t>
      </w:r>
      <w:r w:rsidRPr="00343DB0">
        <w:rPr>
          <w:rFonts w:ascii="Arial" w:hAnsi="Arial" w:cs="Arial"/>
          <w:b/>
          <w:bCs/>
          <w:sz w:val="24"/>
          <w:lang w:val="es-PR"/>
        </w:rPr>
        <w:t xml:space="preserve">artículo </w:t>
      </w:r>
      <w:r w:rsidR="008538DC">
        <w:rPr>
          <w:rFonts w:ascii="Arial" w:hAnsi="Arial" w:cs="Arial"/>
          <w:b/>
          <w:bCs/>
          <w:sz w:val="24"/>
          <w:lang w:val="es-PR"/>
        </w:rPr>
        <w:t>3</w:t>
      </w:r>
      <w:r w:rsidRPr="00343DB0">
        <w:rPr>
          <w:rFonts w:ascii="Arial" w:hAnsi="Arial" w:cs="Arial"/>
          <w:b/>
          <w:bCs/>
          <w:sz w:val="24"/>
          <w:lang w:val="es-PR"/>
        </w:rPr>
        <w:t>.00</w:t>
      </w:r>
      <w:r w:rsidR="008538DC">
        <w:rPr>
          <w:rFonts w:ascii="Arial" w:hAnsi="Arial" w:cs="Arial"/>
          <w:b/>
          <w:bCs/>
          <w:sz w:val="24"/>
          <w:lang w:val="es-PR"/>
        </w:rPr>
        <w:t>2</w:t>
      </w:r>
      <w:r w:rsidRPr="00343DB0">
        <w:rPr>
          <w:rFonts w:ascii="Arial" w:hAnsi="Arial" w:cs="Arial"/>
          <w:b/>
          <w:bCs/>
          <w:sz w:val="24"/>
          <w:lang w:val="es-PR"/>
        </w:rPr>
        <w:t>(</w:t>
      </w:r>
      <w:r w:rsidR="000C5254">
        <w:rPr>
          <w:rFonts w:ascii="Arial" w:hAnsi="Arial" w:cs="Arial"/>
          <w:b/>
          <w:bCs/>
          <w:sz w:val="24"/>
          <w:lang w:val="es-PR"/>
        </w:rPr>
        <w:t>d</w:t>
      </w:r>
      <w:r w:rsidRPr="00343DB0">
        <w:rPr>
          <w:rFonts w:ascii="Arial" w:hAnsi="Arial" w:cs="Arial"/>
          <w:b/>
          <w:bCs/>
          <w:sz w:val="24"/>
          <w:lang w:val="es-PR"/>
        </w:rPr>
        <w:t xml:space="preserve">) de la Ley de la Judicatura, </w:t>
      </w:r>
      <w:r w:rsidRPr="00343DB0">
        <w:rPr>
          <w:rFonts w:ascii="Arial" w:hAnsi="Arial" w:cs="Arial"/>
          <w:b/>
          <w:bCs/>
          <w:i/>
          <w:iCs/>
          <w:sz w:val="24"/>
          <w:lang w:val="es-PR"/>
        </w:rPr>
        <w:t>supra</w:t>
      </w:r>
      <w:r w:rsidRPr="00343DB0">
        <w:rPr>
          <w:rFonts w:ascii="Arial" w:hAnsi="Arial" w:cs="Arial"/>
          <w:bCs/>
          <w:sz w:val="24"/>
          <w:lang w:val="es-PR"/>
        </w:rPr>
        <w:t xml:space="preserve">; </w:t>
      </w:r>
      <w:r w:rsidR="00795E3B" w:rsidRPr="00795E3B">
        <w:rPr>
          <w:rFonts w:ascii="Arial" w:hAnsi="Arial" w:cs="Arial"/>
          <w:bCs/>
          <w:sz w:val="24"/>
          <w:lang w:val="es-PR"/>
        </w:rPr>
        <w:t xml:space="preserve">la </w:t>
      </w:r>
      <w:r w:rsidR="00795E3B" w:rsidRPr="00795E3B">
        <w:rPr>
          <w:rFonts w:ascii="Arial" w:hAnsi="Arial" w:cs="Arial"/>
          <w:b/>
          <w:bCs/>
          <w:sz w:val="24"/>
          <w:lang w:val="es-PR"/>
        </w:rPr>
        <w:t>sec. 4.7, Ley Núm. 38</w:t>
      </w:r>
      <w:r w:rsidRPr="00343DB0">
        <w:rPr>
          <w:rFonts w:ascii="Arial" w:hAnsi="Arial" w:cs="Arial"/>
          <w:b/>
          <w:bCs/>
          <w:sz w:val="24"/>
          <w:lang w:val="es-PR"/>
        </w:rPr>
        <w:t xml:space="preserve">, </w:t>
      </w:r>
      <w:r w:rsidRPr="00343DB0">
        <w:rPr>
          <w:rFonts w:ascii="Arial" w:hAnsi="Arial" w:cs="Arial"/>
          <w:b/>
          <w:bCs/>
          <w:i/>
          <w:iCs/>
          <w:sz w:val="24"/>
          <w:lang w:val="es-PR"/>
        </w:rPr>
        <w:t>supra</w:t>
      </w:r>
      <w:r w:rsidR="00523210">
        <w:rPr>
          <w:rFonts w:ascii="Arial" w:hAnsi="Arial" w:cs="Arial"/>
          <w:bCs/>
          <w:iCs/>
          <w:sz w:val="24"/>
          <w:lang w:val="es-PR"/>
        </w:rPr>
        <w:t xml:space="preserve">, </w:t>
      </w:r>
      <w:r w:rsidR="00523210" w:rsidRPr="00343DB0">
        <w:rPr>
          <w:rFonts w:ascii="Arial" w:hAnsi="Arial" w:cs="Arial"/>
          <w:bCs/>
          <w:sz w:val="24"/>
          <w:lang w:val="es-PR"/>
        </w:rPr>
        <w:t xml:space="preserve">y; la </w:t>
      </w:r>
      <w:r w:rsidR="00523210" w:rsidRPr="00343DB0">
        <w:rPr>
          <w:rFonts w:ascii="Arial" w:hAnsi="Arial" w:cs="Arial"/>
          <w:b/>
          <w:bCs/>
          <w:sz w:val="24"/>
          <w:lang w:val="es-PR"/>
        </w:rPr>
        <w:t xml:space="preserve">Regla </w:t>
      </w:r>
      <w:r w:rsidR="00523210">
        <w:rPr>
          <w:rFonts w:ascii="Arial" w:hAnsi="Arial" w:cs="Arial"/>
          <w:b/>
          <w:bCs/>
          <w:sz w:val="24"/>
          <w:lang w:val="es-PR"/>
        </w:rPr>
        <w:t>20(a)(5)</w:t>
      </w:r>
      <w:r w:rsidR="00523210" w:rsidRPr="00343DB0">
        <w:rPr>
          <w:rFonts w:ascii="Arial" w:hAnsi="Arial" w:cs="Arial"/>
          <w:b/>
          <w:bCs/>
          <w:sz w:val="24"/>
          <w:lang w:val="es-PR"/>
        </w:rPr>
        <w:t xml:space="preserve"> del</w:t>
      </w:r>
      <w:r w:rsidR="00B376AA">
        <w:rPr>
          <w:rFonts w:ascii="Arial" w:hAnsi="Arial" w:cs="Arial"/>
          <w:b/>
          <w:bCs/>
          <w:i/>
          <w:iCs/>
          <w:sz w:val="24"/>
          <w:lang w:val="es-PR"/>
        </w:rPr>
        <w:t xml:space="preserve"> </w:t>
      </w:r>
      <w:r w:rsidR="00B376AA">
        <w:rPr>
          <w:rFonts w:ascii="Arial" w:hAnsi="Arial" w:cs="Arial"/>
          <w:b/>
          <w:bCs/>
          <w:iCs/>
          <w:sz w:val="24"/>
          <w:lang w:val="es-PR"/>
        </w:rPr>
        <w:t xml:space="preserve">Reglamento del Tribunal Supremo, </w:t>
      </w:r>
      <w:r w:rsidR="00B376AA">
        <w:rPr>
          <w:rFonts w:ascii="Arial" w:hAnsi="Arial" w:cs="Arial"/>
          <w:b/>
          <w:bCs/>
          <w:i/>
          <w:iCs/>
          <w:sz w:val="24"/>
          <w:lang w:val="es-PR"/>
        </w:rPr>
        <w:t>supra</w:t>
      </w:r>
      <w:r w:rsidR="00B376AA">
        <w:rPr>
          <w:rFonts w:ascii="Arial" w:hAnsi="Arial" w:cs="Arial"/>
          <w:bCs/>
          <w:iCs/>
          <w:sz w:val="24"/>
          <w:lang w:val="es-PR"/>
        </w:rPr>
        <w:t>.</w:t>
      </w:r>
    </w:p>
    <w:p w:rsidR="00795E3B" w:rsidRPr="000C5254" w:rsidRDefault="00795E3B" w:rsidP="00795E3B">
      <w:pPr>
        <w:pStyle w:val="BodyText"/>
        <w:numPr>
          <w:ilvl w:val="0"/>
          <w:numId w:val="16"/>
        </w:numPr>
        <w:ind w:left="360"/>
        <w:jc w:val="both"/>
        <w:rPr>
          <w:rFonts w:ascii="Arial" w:hAnsi="Arial" w:cs="Arial"/>
          <w:b/>
          <w:bCs/>
          <w:sz w:val="24"/>
        </w:rPr>
      </w:pPr>
      <w:r w:rsidRPr="00795E3B">
        <w:rPr>
          <w:rFonts w:ascii="Arial" w:hAnsi="Arial" w:cs="Arial"/>
          <w:b/>
          <w:bCs/>
          <w:sz w:val="24"/>
          <w:lang w:val="es-PR"/>
        </w:rPr>
        <w:t xml:space="preserve">BREVE </w:t>
      </w:r>
      <w:r w:rsidR="007E089F">
        <w:rPr>
          <w:rFonts w:ascii="Arial" w:hAnsi="Arial" w:cs="Arial"/>
          <w:b/>
          <w:bCs/>
          <w:sz w:val="24"/>
          <w:lang w:val="es-PR"/>
        </w:rPr>
        <w:t>DISCUSIÓN FUNDAMENTADA SOBRE LAS BASES JURISDICCIONALES</w:t>
      </w:r>
    </w:p>
    <w:p w:rsidR="004A7020" w:rsidRDefault="000C5254" w:rsidP="000C5254">
      <w:pPr>
        <w:pStyle w:val="BodyText"/>
        <w:ind w:firstLine="360"/>
        <w:jc w:val="both"/>
        <w:rPr>
          <w:rFonts w:ascii="Arial" w:hAnsi="Arial" w:cs="Arial"/>
          <w:bCs/>
          <w:sz w:val="24"/>
          <w:lang w:val="es-PR"/>
        </w:rPr>
      </w:pPr>
      <w:r>
        <w:rPr>
          <w:rFonts w:ascii="Arial" w:hAnsi="Arial" w:cs="Arial"/>
          <w:bCs/>
          <w:sz w:val="24"/>
          <w:lang w:val="es-PR"/>
        </w:rPr>
        <w:t xml:space="preserve">La controversia planteada en este recurso versa sobre la corrección de la </w:t>
      </w:r>
      <w:r>
        <w:rPr>
          <w:rFonts w:ascii="Arial" w:hAnsi="Arial" w:cs="Arial"/>
          <w:bCs/>
          <w:i/>
          <w:sz w:val="24"/>
          <w:lang w:val="es-PR"/>
        </w:rPr>
        <w:t xml:space="preserve">SENTENCIA </w:t>
      </w:r>
      <w:r>
        <w:rPr>
          <w:rFonts w:ascii="Arial" w:hAnsi="Arial" w:cs="Arial"/>
          <w:bCs/>
          <w:sz w:val="24"/>
          <w:lang w:val="es-PR"/>
        </w:rPr>
        <w:t>del Honorable Tribunal de Apelaciones que atendía el Recurso de Revisión Judicial</w:t>
      </w:r>
      <w:r w:rsidR="0046307B">
        <w:rPr>
          <w:rFonts w:ascii="Arial" w:hAnsi="Arial" w:cs="Arial"/>
          <w:bCs/>
          <w:sz w:val="24"/>
          <w:lang w:val="es-PR"/>
        </w:rPr>
        <w:t xml:space="preserve"> </w:t>
      </w:r>
      <w:r w:rsidR="0046307B" w:rsidRPr="0046307B">
        <w:rPr>
          <w:rFonts w:ascii="Arial" w:hAnsi="Arial" w:cs="Arial"/>
          <w:bCs/>
          <w:sz w:val="24"/>
          <w:lang w:val="es-PR"/>
        </w:rPr>
        <w:t>de epígrafe</w:t>
      </w:r>
      <w:r w:rsidR="00001387">
        <w:rPr>
          <w:rFonts w:ascii="Arial" w:hAnsi="Arial" w:cs="Arial"/>
          <w:bCs/>
          <w:sz w:val="24"/>
          <w:lang w:val="es-PR"/>
        </w:rPr>
        <w:t xml:space="preserve"> (en adelante </w:t>
      </w:r>
      <w:r w:rsidR="00001387">
        <w:rPr>
          <w:rFonts w:ascii="Arial" w:hAnsi="Arial" w:cs="Arial"/>
          <w:bCs/>
          <w:i/>
          <w:sz w:val="24"/>
          <w:lang w:val="es-PR"/>
        </w:rPr>
        <w:t>SENTENCIA RRJ</w:t>
      </w:r>
      <w:r w:rsidR="00001387">
        <w:rPr>
          <w:rFonts w:ascii="Arial" w:hAnsi="Arial" w:cs="Arial"/>
          <w:bCs/>
          <w:sz w:val="24"/>
          <w:lang w:val="es-PR"/>
        </w:rPr>
        <w:t>)</w:t>
      </w:r>
      <w:r w:rsidR="0046307B">
        <w:rPr>
          <w:rFonts w:ascii="Arial" w:hAnsi="Arial" w:cs="Arial"/>
          <w:bCs/>
          <w:sz w:val="24"/>
          <w:lang w:val="es-PR"/>
        </w:rPr>
        <w:t>,</w:t>
      </w:r>
      <w:r>
        <w:rPr>
          <w:rFonts w:ascii="Arial" w:hAnsi="Arial" w:cs="Arial"/>
          <w:bCs/>
          <w:sz w:val="24"/>
          <w:lang w:val="es-PR"/>
        </w:rPr>
        <w:t xml:space="preserve"> en </w:t>
      </w:r>
      <w:r w:rsidR="0046307B">
        <w:rPr>
          <w:rFonts w:ascii="Arial" w:hAnsi="Arial" w:cs="Arial"/>
          <w:bCs/>
          <w:sz w:val="24"/>
          <w:lang w:val="es-PR"/>
        </w:rPr>
        <w:t xml:space="preserve">el </w:t>
      </w:r>
      <w:r>
        <w:rPr>
          <w:rFonts w:ascii="Arial" w:hAnsi="Arial" w:cs="Arial"/>
          <w:bCs/>
          <w:sz w:val="24"/>
          <w:lang w:val="es-PR"/>
        </w:rPr>
        <w:t xml:space="preserve">que se </w:t>
      </w:r>
      <w:r w:rsidR="0046307B">
        <w:rPr>
          <w:rFonts w:ascii="Arial" w:hAnsi="Arial" w:cs="Arial"/>
          <w:bCs/>
          <w:sz w:val="24"/>
          <w:lang w:val="es-PR"/>
        </w:rPr>
        <w:t>declaró sin juris</w:t>
      </w:r>
      <w:r w:rsidR="00B376AA">
        <w:rPr>
          <w:rFonts w:ascii="Arial" w:hAnsi="Arial" w:cs="Arial"/>
          <w:bCs/>
          <w:sz w:val="24"/>
          <w:lang w:val="es-PR"/>
        </w:rPr>
        <w:t>dicción para atender el recurso, concluyendo</w:t>
      </w:r>
      <w:r w:rsidR="00F31771">
        <w:rPr>
          <w:rFonts w:ascii="Arial" w:hAnsi="Arial" w:cs="Arial"/>
          <w:bCs/>
          <w:sz w:val="24"/>
          <w:lang w:val="es-PR"/>
        </w:rPr>
        <w:t xml:space="preserve"> la corrección de la determinación de la División de Revisiones Administrativas adscrita a la Oficina de Gerencia de Permisos (DRA-OGPe)</w:t>
      </w:r>
      <w:r w:rsidR="00B376AA">
        <w:rPr>
          <w:rFonts w:ascii="Arial" w:hAnsi="Arial" w:cs="Arial"/>
          <w:bCs/>
          <w:sz w:val="24"/>
          <w:lang w:val="es-PR"/>
        </w:rPr>
        <w:t xml:space="preserve"> </w:t>
      </w:r>
      <w:r w:rsidR="00F31771">
        <w:rPr>
          <w:rFonts w:ascii="Arial" w:hAnsi="Arial" w:cs="Arial"/>
          <w:bCs/>
          <w:sz w:val="24"/>
          <w:lang w:val="es-PR"/>
        </w:rPr>
        <w:t xml:space="preserve">de </w:t>
      </w:r>
      <w:r w:rsidR="00B376AA">
        <w:rPr>
          <w:rFonts w:ascii="Arial" w:hAnsi="Arial" w:cs="Arial"/>
          <w:bCs/>
          <w:sz w:val="24"/>
          <w:lang w:val="es-PR"/>
        </w:rPr>
        <w:t>incumplimiento con términos jurisdiccionales por esta PARTE PETICIONARIA</w:t>
      </w:r>
      <w:r w:rsidR="00F31771">
        <w:rPr>
          <w:rFonts w:ascii="Arial" w:hAnsi="Arial" w:cs="Arial"/>
          <w:bCs/>
          <w:sz w:val="24"/>
          <w:lang w:val="es-PR"/>
        </w:rPr>
        <w:t xml:space="preserve"> para la presentación del recurso</w:t>
      </w:r>
      <w:r w:rsidR="00F909F2">
        <w:rPr>
          <w:rFonts w:ascii="Arial" w:hAnsi="Arial" w:cs="Arial"/>
          <w:bCs/>
          <w:sz w:val="24"/>
          <w:lang w:val="es-PR"/>
        </w:rPr>
        <w:t>.</w:t>
      </w:r>
      <w:r w:rsidR="00B376AA">
        <w:rPr>
          <w:rFonts w:ascii="Arial" w:hAnsi="Arial" w:cs="Arial"/>
          <w:bCs/>
          <w:sz w:val="24"/>
          <w:lang w:val="es-PR"/>
        </w:rPr>
        <w:t xml:space="preserve"> </w:t>
      </w:r>
      <w:r w:rsidR="00001387">
        <w:rPr>
          <w:rFonts w:ascii="Arial" w:hAnsi="Arial" w:cs="Arial"/>
          <w:bCs/>
          <w:sz w:val="24"/>
          <w:lang w:val="es-PR"/>
        </w:rPr>
        <w:t>A su vez, la determinación de la DRA-OGPe que deniega atender el recurso por incumplimiento con términos jurisdiccionales fue emitida en el contexto d</w:t>
      </w:r>
      <w:r w:rsidR="00F909F2">
        <w:rPr>
          <w:rFonts w:ascii="Arial" w:hAnsi="Arial" w:cs="Arial"/>
          <w:bCs/>
          <w:sz w:val="24"/>
          <w:lang w:val="es-PR"/>
        </w:rPr>
        <w:t>el desenlace de</w:t>
      </w:r>
      <w:r w:rsidR="0046307B">
        <w:rPr>
          <w:rFonts w:ascii="Arial" w:hAnsi="Arial" w:cs="Arial"/>
          <w:bCs/>
          <w:sz w:val="24"/>
          <w:lang w:val="es-PR"/>
        </w:rPr>
        <w:t xml:space="preserve"> </w:t>
      </w:r>
      <w:r w:rsidR="00523210">
        <w:rPr>
          <w:rFonts w:ascii="Arial" w:hAnsi="Arial" w:cs="Arial"/>
          <w:bCs/>
          <w:sz w:val="24"/>
          <w:lang w:val="es-PR"/>
        </w:rPr>
        <w:t>nuestr</w:t>
      </w:r>
      <w:r w:rsidR="00001387">
        <w:rPr>
          <w:rFonts w:ascii="Arial" w:hAnsi="Arial" w:cs="Arial"/>
          <w:bCs/>
          <w:sz w:val="24"/>
          <w:lang w:val="es-PR"/>
        </w:rPr>
        <w:t>o</w:t>
      </w:r>
      <w:r w:rsidR="00523210">
        <w:rPr>
          <w:rFonts w:ascii="Arial" w:hAnsi="Arial" w:cs="Arial"/>
          <w:bCs/>
          <w:sz w:val="24"/>
          <w:lang w:val="es-PR"/>
        </w:rPr>
        <w:t xml:space="preserve"> </w:t>
      </w:r>
      <w:r w:rsidR="00001387">
        <w:rPr>
          <w:rFonts w:ascii="Arial" w:hAnsi="Arial" w:cs="Arial"/>
          <w:bCs/>
          <w:sz w:val="24"/>
          <w:lang w:val="es-PR"/>
        </w:rPr>
        <w:t>Recurso de Revisión Administrativa (en adelante RRA)</w:t>
      </w:r>
      <w:r w:rsidR="00523210">
        <w:rPr>
          <w:rFonts w:ascii="Arial" w:hAnsi="Arial" w:cs="Arial"/>
          <w:bCs/>
          <w:sz w:val="24"/>
          <w:lang w:val="es-PR"/>
        </w:rPr>
        <w:t xml:space="preserve"> de la actuación</w:t>
      </w:r>
      <w:r>
        <w:rPr>
          <w:rFonts w:ascii="Arial" w:hAnsi="Arial" w:cs="Arial"/>
          <w:bCs/>
          <w:sz w:val="24"/>
          <w:lang w:val="es-PR"/>
        </w:rPr>
        <w:t xml:space="preserve"> de la Oficina de Gerencia de Permisos en la </w:t>
      </w:r>
      <w:r w:rsidR="00001387">
        <w:rPr>
          <w:rFonts w:ascii="Arial" w:hAnsi="Arial" w:cs="Arial"/>
          <w:bCs/>
          <w:sz w:val="24"/>
          <w:lang w:val="es-PR"/>
        </w:rPr>
        <w:t>otorgación</w:t>
      </w:r>
      <w:r>
        <w:rPr>
          <w:rFonts w:ascii="Arial" w:hAnsi="Arial" w:cs="Arial"/>
          <w:bCs/>
          <w:sz w:val="24"/>
          <w:lang w:val="es-PR"/>
        </w:rPr>
        <w:t xml:space="preserve"> del PERMISO DE CONSTRUCCIÓN NÚM. </w:t>
      </w:r>
      <w:r w:rsidR="00B376AA" w:rsidRPr="00F31771">
        <w:rPr>
          <w:rFonts w:ascii="Arial" w:hAnsi="Arial" w:cs="Arial"/>
          <w:bCs/>
          <w:sz w:val="24"/>
          <w:lang w:val="es-PR"/>
        </w:rPr>
        <w:t>2022-420273</w:t>
      </w:r>
      <w:r w:rsidRPr="00F31771">
        <w:rPr>
          <w:rFonts w:ascii="Arial" w:hAnsi="Arial" w:cs="Arial"/>
          <w:bCs/>
          <w:sz w:val="24"/>
          <w:lang w:val="es-PR"/>
        </w:rPr>
        <w:t>-PCOC-</w:t>
      </w:r>
      <w:r w:rsidR="00B376AA" w:rsidRPr="00F31771">
        <w:rPr>
          <w:rFonts w:ascii="Arial" w:hAnsi="Arial" w:cs="Arial"/>
          <w:bCs/>
          <w:sz w:val="24"/>
          <w:lang w:val="es-PR"/>
        </w:rPr>
        <w:t>024711</w:t>
      </w:r>
      <w:r w:rsidR="00F31771">
        <w:rPr>
          <w:rFonts w:ascii="Arial" w:hAnsi="Arial" w:cs="Arial"/>
          <w:bCs/>
          <w:sz w:val="24"/>
          <w:lang w:val="es-PR"/>
        </w:rPr>
        <w:t xml:space="preserve"> (en adelante </w:t>
      </w:r>
      <w:r w:rsidR="00F31771" w:rsidRPr="00001387">
        <w:rPr>
          <w:rFonts w:ascii="Arial" w:hAnsi="Arial" w:cs="Arial"/>
          <w:bCs/>
          <w:i/>
          <w:sz w:val="24"/>
          <w:lang w:val="es-PR"/>
        </w:rPr>
        <w:t>PERMISO IMPUGNADO</w:t>
      </w:r>
      <w:r w:rsidR="00F31771">
        <w:rPr>
          <w:rFonts w:ascii="Arial" w:hAnsi="Arial" w:cs="Arial"/>
          <w:bCs/>
          <w:sz w:val="24"/>
          <w:lang w:val="es-PR"/>
        </w:rPr>
        <w:t>)</w:t>
      </w:r>
      <w:r w:rsidR="00001387">
        <w:rPr>
          <w:rFonts w:ascii="Arial" w:hAnsi="Arial" w:cs="Arial"/>
          <w:bCs/>
          <w:sz w:val="24"/>
          <w:lang w:val="es-PR"/>
        </w:rPr>
        <w:t xml:space="preserve"> a favor de QMC TELECOM, LLC (QMC)</w:t>
      </w:r>
      <w:r w:rsidR="00497672" w:rsidRPr="00F31771">
        <w:rPr>
          <w:rFonts w:ascii="Arial" w:hAnsi="Arial" w:cs="Arial"/>
          <w:bCs/>
          <w:sz w:val="24"/>
          <w:lang w:val="es-PR"/>
        </w:rPr>
        <w:t>.</w:t>
      </w:r>
      <w:r w:rsidR="00497672">
        <w:rPr>
          <w:rFonts w:ascii="Arial" w:hAnsi="Arial" w:cs="Arial"/>
          <w:bCs/>
          <w:sz w:val="24"/>
          <w:lang w:val="es-PR"/>
        </w:rPr>
        <w:t xml:space="preserve"> </w:t>
      </w:r>
    </w:p>
    <w:p w:rsidR="00497672" w:rsidRDefault="00497672" w:rsidP="00D53C56">
      <w:pPr>
        <w:pStyle w:val="BodyText"/>
        <w:ind w:firstLine="360"/>
        <w:jc w:val="both"/>
        <w:rPr>
          <w:rFonts w:ascii="Arial" w:hAnsi="Arial" w:cs="Arial"/>
          <w:bCs/>
          <w:sz w:val="24"/>
          <w:lang w:val="es-PR"/>
        </w:rPr>
      </w:pPr>
      <w:r>
        <w:rPr>
          <w:rFonts w:ascii="Arial" w:hAnsi="Arial" w:cs="Arial"/>
          <w:bCs/>
          <w:sz w:val="24"/>
          <w:lang w:val="es-PR"/>
        </w:rPr>
        <w:t>Veamos</w:t>
      </w:r>
      <w:r w:rsidR="008F6C26">
        <w:rPr>
          <w:rFonts w:ascii="Arial" w:hAnsi="Arial" w:cs="Arial"/>
          <w:bCs/>
          <w:sz w:val="24"/>
          <w:lang w:val="es-PR"/>
        </w:rPr>
        <w:t>,</w:t>
      </w:r>
      <w:r>
        <w:rPr>
          <w:rFonts w:ascii="Arial" w:hAnsi="Arial" w:cs="Arial"/>
          <w:bCs/>
          <w:sz w:val="24"/>
          <w:lang w:val="es-PR"/>
        </w:rPr>
        <w:t xml:space="preserve"> brevemente</w:t>
      </w:r>
      <w:r w:rsidR="00F909F2">
        <w:rPr>
          <w:rFonts w:ascii="Arial" w:hAnsi="Arial" w:cs="Arial"/>
          <w:bCs/>
          <w:sz w:val="24"/>
          <w:lang w:val="es-PR"/>
        </w:rPr>
        <w:t xml:space="preserve"> (porque de esto trata nuestro primer señalamiento de error, discusión que se hace formar parte de esta parte del recurso)</w:t>
      </w:r>
      <w:r w:rsidR="008F6C26">
        <w:rPr>
          <w:rFonts w:ascii="Arial" w:hAnsi="Arial" w:cs="Arial"/>
          <w:bCs/>
          <w:sz w:val="24"/>
          <w:lang w:val="es-PR"/>
        </w:rPr>
        <w:t>,</w:t>
      </w:r>
      <w:r w:rsidR="00F31771">
        <w:rPr>
          <w:rFonts w:ascii="Arial" w:hAnsi="Arial" w:cs="Arial"/>
          <w:bCs/>
          <w:sz w:val="24"/>
          <w:lang w:val="es-PR"/>
        </w:rPr>
        <w:t xml:space="preserve"> esta PARTE PETICIONARIA respetuosamente entiende que, al </w:t>
      </w:r>
      <w:r w:rsidR="00F31771" w:rsidRPr="00F909F2">
        <w:rPr>
          <w:rFonts w:ascii="Arial" w:hAnsi="Arial" w:cs="Arial"/>
          <w:bCs/>
          <w:sz w:val="24"/>
          <w:lang w:val="es-PR"/>
        </w:rPr>
        <w:t>no haber sido PARTE ninguno de los PETICIONARIOS en el proceso d</w:t>
      </w:r>
      <w:r w:rsidR="00001387">
        <w:rPr>
          <w:rFonts w:ascii="Arial" w:hAnsi="Arial" w:cs="Arial"/>
          <w:bCs/>
          <w:sz w:val="24"/>
          <w:lang w:val="es-PR"/>
        </w:rPr>
        <w:t>e evaluación de la solicitud de</w:t>
      </w:r>
      <w:r w:rsidR="00F31771" w:rsidRPr="00F909F2">
        <w:rPr>
          <w:rFonts w:ascii="Arial" w:hAnsi="Arial" w:cs="Arial"/>
          <w:bCs/>
          <w:sz w:val="24"/>
          <w:lang w:val="es-PR"/>
        </w:rPr>
        <w:t xml:space="preserve"> permiso</w:t>
      </w:r>
      <w:r w:rsidR="00D53C56">
        <w:rPr>
          <w:rFonts w:ascii="Arial" w:hAnsi="Arial" w:cs="Arial"/>
          <w:bCs/>
          <w:sz w:val="24"/>
          <w:lang w:val="es-PR"/>
        </w:rPr>
        <w:t>,</w:t>
      </w:r>
      <w:r w:rsidR="00001387">
        <w:rPr>
          <w:rFonts w:ascii="Arial" w:hAnsi="Arial" w:cs="Arial"/>
          <w:bCs/>
          <w:sz w:val="24"/>
          <w:lang w:val="es-PR"/>
        </w:rPr>
        <w:t xml:space="preserve"> no haber sido estos notificados la otorgación del </w:t>
      </w:r>
      <w:r w:rsidR="00001387">
        <w:rPr>
          <w:rFonts w:ascii="Arial" w:hAnsi="Arial" w:cs="Arial"/>
          <w:bCs/>
          <w:i/>
          <w:sz w:val="24"/>
          <w:lang w:val="es-PR"/>
        </w:rPr>
        <w:t>PERMISO IMPUGNADO</w:t>
      </w:r>
      <w:r w:rsidR="00F909F2" w:rsidRPr="00F909F2">
        <w:rPr>
          <w:rFonts w:ascii="Arial" w:hAnsi="Arial" w:cs="Arial"/>
          <w:bCs/>
          <w:sz w:val="24"/>
          <w:lang w:val="es-PR"/>
        </w:rPr>
        <w:t xml:space="preserve"> </w:t>
      </w:r>
      <w:r w:rsidR="00F909F2">
        <w:rPr>
          <w:rFonts w:ascii="Arial" w:hAnsi="Arial" w:cs="Arial"/>
          <w:bCs/>
          <w:sz w:val="24"/>
          <w:lang w:val="es-PR"/>
        </w:rPr>
        <w:t>y estos s</w:t>
      </w:r>
      <w:r w:rsidR="00001387">
        <w:rPr>
          <w:rFonts w:ascii="Arial" w:hAnsi="Arial" w:cs="Arial"/>
          <w:bCs/>
          <w:sz w:val="24"/>
          <w:lang w:val="es-PR"/>
        </w:rPr>
        <w:t>er</w:t>
      </w:r>
      <w:r w:rsidR="00F909F2">
        <w:rPr>
          <w:rFonts w:ascii="Arial" w:hAnsi="Arial" w:cs="Arial"/>
          <w:bCs/>
          <w:sz w:val="24"/>
          <w:lang w:val="es-PR"/>
        </w:rPr>
        <w:t xml:space="preserve"> </w:t>
      </w:r>
      <w:r w:rsidR="00F909F2" w:rsidRPr="00F909F2">
        <w:rPr>
          <w:rFonts w:ascii="Arial" w:hAnsi="Arial" w:cs="Arial"/>
          <w:bCs/>
          <w:sz w:val="24"/>
          <w:lang w:val="es-PR"/>
        </w:rPr>
        <w:t>“residentes de un área de viviendas</w:t>
      </w:r>
      <w:r w:rsidR="00F909F2">
        <w:rPr>
          <w:rFonts w:ascii="Arial" w:hAnsi="Arial" w:cs="Arial"/>
          <w:bCs/>
          <w:sz w:val="24"/>
          <w:lang w:val="es-PR"/>
        </w:rPr>
        <w:t xml:space="preserve"> [que]</w:t>
      </w:r>
      <w:r w:rsidR="00F909F2" w:rsidRPr="00F909F2">
        <w:rPr>
          <w:rFonts w:ascii="Arial" w:hAnsi="Arial" w:cs="Arial"/>
          <w:bCs/>
          <w:sz w:val="24"/>
          <w:lang w:val="es-PR"/>
        </w:rPr>
        <w:t xml:space="preserve"> tienen un interés legítimo en cuanto al uso y destino</w:t>
      </w:r>
      <w:r w:rsidR="00F909F2">
        <w:rPr>
          <w:rFonts w:ascii="Arial" w:hAnsi="Arial" w:cs="Arial"/>
          <w:bCs/>
          <w:sz w:val="24"/>
          <w:lang w:val="es-PR"/>
        </w:rPr>
        <w:t xml:space="preserve"> </w:t>
      </w:r>
      <w:r w:rsidR="00F909F2" w:rsidRPr="00F909F2">
        <w:rPr>
          <w:rFonts w:ascii="Arial" w:hAnsi="Arial" w:cs="Arial"/>
          <w:bCs/>
          <w:sz w:val="24"/>
          <w:lang w:val="es-PR"/>
        </w:rPr>
        <w:t>de los terrenos colindantes, sobre todo cuando una decisión sobre tales terrenos ha de tener</w:t>
      </w:r>
      <w:r w:rsidR="00F909F2">
        <w:rPr>
          <w:rFonts w:ascii="Arial" w:hAnsi="Arial" w:cs="Arial"/>
          <w:bCs/>
          <w:sz w:val="24"/>
          <w:lang w:val="es-PR"/>
        </w:rPr>
        <w:t xml:space="preserve"> </w:t>
      </w:r>
      <w:r w:rsidR="00F909F2" w:rsidRPr="00F909F2">
        <w:rPr>
          <w:rFonts w:ascii="Arial" w:hAnsi="Arial" w:cs="Arial"/>
          <w:bCs/>
          <w:sz w:val="24"/>
          <w:lang w:val="es-PR"/>
        </w:rPr>
        <w:t>un gran impacto y trascendencia para dichos residentes</w:t>
      </w:r>
      <w:r w:rsidR="00F909F2">
        <w:rPr>
          <w:rFonts w:ascii="Arial" w:hAnsi="Arial" w:cs="Arial"/>
          <w:bCs/>
          <w:sz w:val="24"/>
          <w:lang w:val="es-PR"/>
        </w:rPr>
        <w:t>”</w:t>
      </w:r>
      <w:r w:rsidR="00F909F2">
        <w:rPr>
          <w:rStyle w:val="FootnoteReference"/>
          <w:rFonts w:ascii="Arial" w:hAnsi="Arial" w:cs="Arial"/>
          <w:bCs/>
          <w:sz w:val="24"/>
          <w:lang w:val="es-PR"/>
        </w:rPr>
        <w:footnoteReference w:id="1"/>
      </w:r>
      <w:r w:rsidR="00F909F2">
        <w:rPr>
          <w:rFonts w:ascii="Arial" w:hAnsi="Arial" w:cs="Arial"/>
          <w:bCs/>
          <w:sz w:val="24"/>
          <w:lang w:val="es-PR"/>
        </w:rPr>
        <w:t xml:space="preserve"> </w:t>
      </w:r>
      <w:r w:rsidR="00D53C56">
        <w:rPr>
          <w:rFonts w:ascii="Arial" w:hAnsi="Arial" w:cs="Arial"/>
          <w:bCs/>
          <w:sz w:val="24"/>
          <w:lang w:val="es-PR"/>
        </w:rPr>
        <w:t>por “</w:t>
      </w:r>
      <w:r w:rsidR="00D53C56" w:rsidRPr="00D53C56">
        <w:rPr>
          <w:rFonts w:ascii="Arial" w:hAnsi="Arial" w:cs="Arial"/>
          <w:bCs/>
          <w:sz w:val="24"/>
          <w:lang w:val="es-PR"/>
        </w:rPr>
        <w:t>el riesgo indudable de</w:t>
      </w:r>
      <w:r w:rsidR="00D53C56">
        <w:rPr>
          <w:rFonts w:ascii="Arial" w:hAnsi="Arial" w:cs="Arial"/>
          <w:bCs/>
          <w:sz w:val="24"/>
          <w:lang w:val="es-PR"/>
        </w:rPr>
        <w:t xml:space="preserve"> </w:t>
      </w:r>
      <w:r w:rsidR="00D53C56" w:rsidRPr="00D53C56">
        <w:rPr>
          <w:rFonts w:ascii="Arial" w:hAnsi="Arial" w:cs="Arial"/>
          <w:bCs/>
          <w:sz w:val="24"/>
          <w:lang w:val="es-PR"/>
        </w:rPr>
        <w:t xml:space="preserve">deslizamiento de tierras que </w:t>
      </w:r>
      <w:r w:rsidR="00D53C56">
        <w:rPr>
          <w:rFonts w:ascii="Arial" w:hAnsi="Arial" w:cs="Arial"/>
          <w:bCs/>
          <w:sz w:val="24"/>
          <w:lang w:val="es-PR"/>
        </w:rPr>
        <w:t>[existe]</w:t>
      </w:r>
      <w:r w:rsidR="00D53C56" w:rsidRPr="00D53C56">
        <w:rPr>
          <w:rFonts w:ascii="Arial" w:hAnsi="Arial" w:cs="Arial"/>
          <w:bCs/>
          <w:sz w:val="24"/>
          <w:lang w:val="es-PR"/>
        </w:rPr>
        <w:t xml:space="preserve"> en el lugar y que </w:t>
      </w:r>
      <w:r w:rsidR="00D53C56">
        <w:rPr>
          <w:rFonts w:ascii="Arial" w:hAnsi="Arial" w:cs="Arial"/>
          <w:bCs/>
          <w:sz w:val="24"/>
          <w:lang w:val="es-PR"/>
        </w:rPr>
        <w:t>[pone]</w:t>
      </w:r>
      <w:r w:rsidR="00D53C56" w:rsidRPr="00D53C56">
        <w:rPr>
          <w:rFonts w:ascii="Arial" w:hAnsi="Arial" w:cs="Arial"/>
          <w:bCs/>
          <w:sz w:val="24"/>
          <w:lang w:val="es-PR"/>
        </w:rPr>
        <w:t xml:space="preserve"> incluso la vida de los vecinos</w:t>
      </w:r>
      <w:r w:rsidR="00D53C56">
        <w:rPr>
          <w:rFonts w:ascii="Arial" w:hAnsi="Arial" w:cs="Arial"/>
          <w:bCs/>
          <w:sz w:val="24"/>
          <w:lang w:val="es-PR"/>
        </w:rPr>
        <w:t xml:space="preserve"> en grave peligro”</w:t>
      </w:r>
      <w:r w:rsidR="00D53C56">
        <w:rPr>
          <w:rStyle w:val="FootnoteReference"/>
          <w:rFonts w:ascii="Arial" w:hAnsi="Arial" w:cs="Arial"/>
          <w:bCs/>
          <w:sz w:val="24"/>
          <w:lang w:val="es-PR"/>
        </w:rPr>
        <w:footnoteReference w:id="2"/>
      </w:r>
      <w:r w:rsidR="00F31771" w:rsidRPr="00F909F2">
        <w:rPr>
          <w:rFonts w:ascii="Arial" w:hAnsi="Arial" w:cs="Arial"/>
          <w:bCs/>
          <w:sz w:val="24"/>
          <w:lang w:val="es-PR"/>
        </w:rPr>
        <w:t>, no le aplica</w:t>
      </w:r>
      <w:r w:rsidR="00D53C56">
        <w:rPr>
          <w:rFonts w:ascii="Arial" w:hAnsi="Arial" w:cs="Arial"/>
          <w:bCs/>
          <w:sz w:val="24"/>
          <w:lang w:val="es-PR"/>
        </w:rPr>
        <w:t xml:space="preserve">ba a estos el término jurisdiccional en que descansa el fundamento de falta de jurisdicción reiterado en la </w:t>
      </w:r>
      <w:r w:rsidR="00001387">
        <w:rPr>
          <w:rFonts w:ascii="Arial" w:hAnsi="Arial" w:cs="Arial"/>
          <w:bCs/>
          <w:i/>
          <w:sz w:val="24"/>
          <w:lang w:val="es-PR"/>
        </w:rPr>
        <w:t>SENTENCIA RRJ</w:t>
      </w:r>
      <w:r w:rsidR="00D53C56">
        <w:rPr>
          <w:rFonts w:ascii="Arial" w:hAnsi="Arial" w:cs="Arial"/>
          <w:bCs/>
          <w:sz w:val="24"/>
          <w:lang w:val="es-PR"/>
        </w:rPr>
        <w:t xml:space="preserve">. Y fundamentamos nuestro error en lo resuelto por este Hon. Tribunal Supremo en el caso </w:t>
      </w:r>
      <w:r w:rsidR="00D53C56" w:rsidRPr="00D53C56">
        <w:rPr>
          <w:rFonts w:ascii="Arial" w:hAnsi="Arial" w:cs="Arial"/>
          <w:bCs/>
          <w:sz w:val="24"/>
          <w:u w:val="single"/>
          <w:lang w:val="es-PR"/>
        </w:rPr>
        <w:t>Asoc. de Residentes v Montebello</w:t>
      </w:r>
      <w:r w:rsidR="00D53C56">
        <w:rPr>
          <w:rFonts w:ascii="Arial" w:hAnsi="Arial" w:cs="Arial"/>
          <w:bCs/>
          <w:sz w:val="24"/>
          <w:lang w:val="es-PR"/>
        </w:rPr>
        <w:t xml:space="preserve">, </w:t>
      </w:r>
      <w:r w:rsidR="00D53C56">
        <w:rPr>
          <w:rFonts w:ascii="Arial" w:hAnsi="Arial" w:cs="Arial"/>
          <w:bCs/>
          <w:i/>
          <w:sz w:val="24"/>
          <w:lang w:val="es-PR"/>
        </w:rPr>
        <w:t>supra</w:t>
      </w:r>
      <w:r>
        <w:rPr>
          <w:rFonts w:ascii="Arial" w:hAnsi="Arial" w:cs="Arial"/>
          <w:bCs/>
          <w:sz w:val="24"/>
          <w:lang w:val="es-PR"/>
        </w:rPr>
        <w:t>.</w:t>
      </w:r>
      <w:r w:rsidR="008F6C26">
        <w:rPr>
          <w:rFonts w:ascii="Arial" w:hAnsi="Arial" w:cs="Arial"/>
          <w:bCs/>
          <w:sz w:val="24"/>
          <w:lang w:val="es-PR"/>
        </w:rPr>
        <w:t xml:space="preserve"> </w:t>
      </w:r>
    </w:p>
    <w:p w:rsidR="000B2849" w:rsidRDefault="000B2849" w:rsidP="000C5254">
      <w:pPr>
        <w:pStyle w:val="BodyText"/>
        <w:ind w:firstLine="360"/>
        <w:jc w:val="both"/>
        <w:rPr>
          <w:rFonts w:ascii="Arial" w:hAnsi="Arial" w:cs="Arial"/>
          <w:bCs/>
          <w:sz w:val="24"/>
          <w:lang w:val="es-PR"/>
        </w:rPr>
      </w:pPr>
      <w:r>
        <w:rPr>
          <w:rFonts w:ascii="Arial" w:hAnsi="Arial" w:cs="Arial"/>
          <w:bCs/>
          <w:sz w:val="24"/>
          <w:lang w:val="es-PR"/>
        </w:rPr>
        <w:t xml:space="preserve">Cronológicamente, </w:t>
      </w:r>
      <w:r w:rsidR="006A7420">
        <w:rPr>
          <w:rFonts w:ascii="Arial" w:hAnsi="Arial" w:cs="Arial"/>
          <w:bCs/>
          <w:sz w:val="24"/>
          <w:lang w:val="es-PR"/>
        </w:rPr>
        <w:t xml:space="preserve">en lo medular, </w:t>
      </w:r>
      <w:r w:rsidR="006A7420" w:rsidRPr="006D3EAF">
        <w:rPr>
          <w:rFonts w:ascii="Arial" w:hAnsi="Arial" w:cs="Arial"/>
          <w:bCs/>
          <w:sz w:val="24"/>
          <w:u w:val="single"/>
          <w:lang w:val="es-PR"/>
        </w:rPr>
        <w:t xml:space="preserve">la PARTE PETICIONARIA </w:t>
      </w:r>
      <w:r w:rsidR="001255FD" w:rsidRPr="006D3EAF">
        <w:rPr>
          <w:rFonts w:ascii="Arial" w:hAnsi="Arial" w:cs="Arial"/>
          <w:bCs/>
          <w:sz w:val="24"/>
          <w:u w:val="single"/>
          <w:lang w:val="es-PR"/>
        </w:rPr>
        <w:t xml:space="preserve">no fue notificada de la otorgación del </w:t>
      </w:r>
      <w:r w:rsidR="001255FD" w:rsidRPr="006D3EAF">
        <w:rPr>
          <w:rFonts w:ascii="Arial" w:hAnsi="Arial" w:cs="Arial"/>
          <w:bCs/>
          <w:i/>
          <w:sz w:val="24"/>
          <w:u w:val="single"/>
          <w:lang w:val="es-PR"/>
        </w:rPr>
        <w:t>PERMISO IMPUGNADO</w:t>
      </w:r>
      <w:r w:rsidR="001255FD" w:rsidRPr="006D3EAF">
        <w:rPr>
          <w:rFonts w:ascii="Arial" w:hAnsi="Arial" w:cs="Arial"/>
          <w:bCs/>
          <w:sz w:val="24"/>
          <w:u w:val="single"/>
          <w:lang w:val="es-PR"/>
        </w:rPr>
        <w:t xml:space="preserve">, ninguno de los </w:t>
      </w:r>
      <w:r w:rsidR="006D3EAF" w:rsidRPr="006D3EAF">
        <w:rPr>
          <w:rFonts w:ascii="Arial" w:hAnsi="Arial" w:cs="Arial"/>
          <w:bCs/>
          <w:sz w:val="24"/>
          <w:u w:val="single"/>
          <w:lang w:val="es-PR"/>
        </w:rPr>
        <w:t>PETICIONARIOS</w:t>
      </w:r>
      <w:r w:rsidR="006D3EAF">
        <w:rPr>
          <w:rFonts w:ascii="Arial" w:hAnsi="Arial" w:cs="Arial"/>
          <w:bCs/>
          <w:sz w:val="24"/>
          <w:u w:val="single"/>
          <w:lang w:val="es-PR"/>
        </w:rPr>
        <w:t xml:space="preserve"> lo fue</w:t>
      </w:r>
      <w:r w:rsidR="001255FD">
        <w:rPr>
          <w:rStyle w:val="FootnoteReference"/>
          <w:rFonts w:ascii="Arial" w:hAnsi="Arial" w:cs="Arial"/>
          <w:bCs/>
          <w:sz w:val="24"/>
          <w:lang w:val="es-PR"/>
        </w:rPr>
        <w:footnoteReference w:id="3"/>
      </w:r>
      <w:r w:rsidR="001255FD">
        <w:rPr>
          <w:rFonts w:ascii="Arial" w:hAnsi="Arial" w:cs="Arial"/>
          <w:bCs/>
          <w:sz w:val="24"/>
          <w:lang w:val="es-PR"/>
        </w:rPr>
        <w:t>.</w:t>
      </w:r>
      <w:r w:rsidR="001255FD">
        <w:rPr>
          <w:rFonts w:ascii="Arial" w:hAnsi="Arial" w:cs="Arial"/>
          <w:bCs/>
          <w:i/>
          <w:sz w:val="24"/>
          <w:lang w:val="es-PR"/>
        </w:rPr>
        <w:t xml:space="preserve"> </w:t>
      </w:r>
      <w:r w:rsidR="00672E91">
        <w:rPr>
          <w:rFonts w:ascii="Arial" w:hAnsi="Arial" w:cs="Arial"/>
          <w:bCs/>
          <w:sz w:val="24"/>
          <w:lang w:val="es-PR"/>
        </w:rPr>
        <w:t>Estos se enteraron</w:t>
      </w:r>
      <w:r w:rsidR="006A7420">
        <w:rPr>
          <w:rFonts w:ascii="Arial" w:hAnsi="Arial" w:cs="Arial"/>
          <w:bCs/>
          <w:sz w:val="24"/>
          <w:lang w:val="es-PR"/>
        </w:rPr>
        <w:t xml:space="preserve"> de la otorgación del </w:t>
      </w:r>
      <w:r w:rsidR="006A7420">
        <w:rPr>
          <w:rFonts w:ascii="Arial" w:hAnsi="Arial" w:cs="Arial"/>
          <w:bCs/>
          <w:i/>
          <w:sz w:val="24"/>
          <w:lang w:val="es-PR"/>
        </w:rPr>
        <w:t xml:space="preserve">PERMISO IMPUGNADO </w:t>
      </w:r>
      <w:r w:rsidR="006A7420">
        <w:rPr>
          <w:rFonts w:ascii="Arial" w:hAnsi="Arial" w:cs="Arial"/>
          <w:bCs/>
          <w:sz w:val="24"/>
          <w:lang w:val="es-PR"/>
        </w:rPr>
        <w:t xml:space="preserve">(sucedida el </w:t>
      </w:r>
      <w:r w:rsidR="006D3EAF">
        <w:rPr>
          <w:rFonts w:ascii="Arial" w:hAnsi="Arial" w:cs="Arial"/>
          <w:bCs/>
          <w:sz w:val="24"/>
          <w:lang w:val="es-PR"/>
        </w:rPr>
        <w:t>31</w:t>
      </w:r>
      <w:r w:rsidR="006A7420">
        <w:rPr>
          <w:rFonts w:ascii="Arial" w:hAnsi="Arial" w:cs="Arial"/>
          <w:bCs/>
          <w:sz w:val="24"/>
          <w:lang w:val="es-PR"/>
        </w:rPr>
        <w:t xml:space="preserve"> de mayo de 2022) luego del día 14 de junio de 2022, fecha en la que les fue expedida la copia del expediente administrativo del proyecto del CO RECURRIDO, QMC TELECOM, LLC (en adelante QMC). Estos hallaron el </w:t>
      </w:r>
      <w:r w:rsidR="006A7420">
        <w:rPr>
          <w:rFonts w:ascii="Arial" w:hAnsi="Arial" w:cs="Arial"/>
          <w:bCs/>
          <w:i/>
          <w:sz w:val="24"/>
          <w:lang w:val="es-PR"/>
        </w:rPr>
        <w:t xml:space="preserve">PERMISO IMPUGNADO </w:t>
      </w:r>
      <w:r w:rsidR="006A7420">
        <w:rPr>
          <w:rFonts w:ascii="Arial" w:hAnsi="Arial" w:cs="Arial"/>
          <w:bCs/>
          <w:sz w:val="24"/>
          <w:lang w:val="es-PR"/>
        </w:rPr>
        <w:t>adentro del archivo del expediente e, inmediatamente, se movilizaron a organizarse como comunidad para su oposición al permiso</w:t>
      </w:r>
      <w:r w:rsidR="006D3EAF">
        <w:rPr>
          <w:rFonts w:ascii="Arial" w:hAnsi="Arial" w:cs="Arial"/>
          <w:bCs/>
          <w:sz w:val="24"/>
          <w:lang w:val="es-PR"/>
        </w:rPr>
        <w:t xml:space="preserve">, a </w:t>
      </w:r>
      <w:r w:rsidR="00F6280C">
        <w:rPr>
          <w:rFonts w:ascii="Arial" w:hAnsi="Arial" w:cs="Arial"/>
          <w:bCs/>
          <w:sz w:val="24"/>
          <w:lang w:val="es-PR"/>
        </w:rPr>
        <w:t>recabar apoyo e</w:t>
      </w:r>
      <w:r w:rsidR="006D3EAF">
        <w:rPr>
          <w:rFonts w:ascii="Arial" w:hAnsi="Arial" w:cs="Arial"/>
          <w:bCs/>
          <w:sz w:val="24"/>
          <w:lang w:val="es-PR"/>
        </w:rPr>
        <w:t xml:space="preserve"> información y </w:t>
      </w:r>
      <w:r w:rsidR="00F6280C">
        <w:rPr>
          <w:rFonts w:ascii="Arial" w:hAnsi="Arial" w:cs="Arial"/>
          <w:bCs/>
          <w:sz w:val="24"/>
          <w:lang w:val="es-PR"/>
        </w:rPr>
        <w:t>defensa legal contra el mismo</w:t>
      </w:r>
      <w:r w:rsidR="00672E91">
        <w:rPr>
          <w:rFonts w:ascii="Arial" w:hAnsi="Arial" w:cs="Arial"/>
          <w:bCs/>
          <w:sz w:val="24"/>
          <w:lang w:val="es-PR"/>
        </w:rPr>
        <w:t>.</w:t>
      </w:r>
      <w:r w:rsidR="006C6994">
        <w:rPr>
          <w:rFonts w:ascii="Arial" w:hAnsi="Arial" w:cs="Arial"/>
          <w:bCs/>
          <w:sz w:val="24"/>
          <w:lang w:val="es-PR"/>
        </w:rPr>
        <w:t xml:space="preserve"> Cabe resaltar que la PARTE PETICIONARIA halló el </w:t>
      </w:r>
      <w:r w:rsidR="006C6994">
        <w:rPr>
          <w:rFonts w:ascii="Arial" w:hAnsi="Arial" w:cs="Arial"/>
          <w:bCs/>
          <w:i/>
          <w:sz w:val="24"/>
          <w:lang w:val="es-PR"/>
        </w:rPr>
        <w:t>PERMISO IMPUGNADO</w:t>
      </w:r>
      <w:r w:rsidR="006C6994">
        <w:rPr>
          <w:rFonts w:ascii="Arial" w:hAnsi="Arial" w:cs="Arial"/>
          <w:bCs/>
          <w:sz w:val="24"/>
          <w:lang w:val="es-PR"/>
        </w:rPr>
        <w:t xml:space="preserve"> dentro del expediente dentro de los últimos cuatro (4) días laborables estatuidos para que las PARTES reconocidas presenten recurso de revisión administrativa contra el mismo</w:t>
      </w:r>
      <w:r w:rsidR="006C6994">
        <w:rPr>
          <w:rStyle w:val="FootnoteReference"/>
          <w:rFonts w:ascii="Arial" w:hAnsi="Arial" w:cs="Arial"/>
          <w:bCs/>
          <w:sz w:val="24"/>
          <w:lang w:val="es-PR"/>
        </w:rPr>
        <w:footnoteReference w:id="4"/>
      </w:r>
      <w:r w:rsidR="006C6994">
        <w:rPr>
          <w:rFonts w:ascii="Arial" w:hAnsi="Arial" w:cs="Arial"/>
          <w:bCs/>
          <w:sz w:val="24"/>
          <w:lang w:val="es-PR"/>
        </w:rPr>
        <w:t>.</w:t>
      </w:r>
      <w:r w:rsidR="006A7420">
        <w:rPr>
          <w:rFonts w:ascii="Arial" w:hAnsi="Arial" w:cs="Arial"/>
          <w:bCs/>
          <w:sz w:val="24"/>
          <w:lang w:val="es-PR"/>
        </w:rPr>
        <w:t xml:space="preserve"> </w:t>
      </w:r>
    </w:p>
    <w:p w:rsidR="00BD16EF" w:rsidRDefault="00BD16EF" w:rsidP="000C5254">
      <w:pPr>
        <w:pStyle w:val="BodyText"/>
        <w:ind w:firstLine="360"/>
        <w:jc w:val="both"/>
        <w:rPr>
          <w:rFonts w:ascii="Arial" w:hAnsi="Arial" w:cs="Arial"/>
          <w:bCs/>
          <w:sz w:val="24"/>
          <w:lang w:val="es-PR"/>
        </w:rPr>
      </w:pPr>
      <w:r>
        <w:rPr>
          <w:rFonts w:ascii="Arial" w:hAnsi="Arial" w:cs="Arial"/>
          <w:bCs/>
          <w:sz w:val="24"/>
          <w:lang w:val="es-PR"/>
        </w:rPr>
        <w:t>En atención a que la PARTE RECURRENTE, ninguno de los RECURRIDOS, fueron partes en el proceso de evaluación de la solicitud de permiso</w:t>
      </w:r>
      <w:r w:rsidR="006C6994">
        <w:rPr>
          <w:rStyle w:val="FootnoteReference"/>
          <w:rFonts w:ascii="Arial" w:hAnsi="Arial" w:cs="Arial"/>
          <w:bCs/>
          <w:sz w:val="24"/>
          <w:lang w:val="es-PR"/>
        </w:rPr>
        <w:footnoteReference w:id="5"/>
      </w:r>
      <w:r>
        <w:rPr>
          <w:rFonts w:ascii="Arial" w:hAnsi="Arial" w:cs="Arial"/>
          <w:bCs/>
          <w:sz w:val="24"/>
          <w:lang w:val="es-PR"/>
        </w:rPr>
        <w:t xml:space="preserve">, por lo que tampoco fueron notificados formalmente de la otorgación del </w:t>
      </w:r>
      <w:r>
        <w:rPr>
          <w:rFonts w:ascii="Arial" w:hAnsi="Arial" w:cs="Arial"/>
          <w:bCs/>
          <w:i/>
          <w:sz w:val="24"/>
          <w:lang w:val="es-PR"/>
        </w:rPr>
        <w:t>PERMISO IMPUGNADO</w:t>
      </w:r>
      <w:r>
        <w:rPr>
          <w:rStyle w:val="FootnoteReference"/>
          <w:rFonts w:ascii="Arial" w:hAnsi="Arial" w:cs="Arial"/>
          <w:bCs/>
          <w:sz w:val="24"/>
          <w:lang w:val="es-PR"/>
        </w:rPr>
        <w:footnoteReference w:id="6"/>
      </w:r>
      <w:r>
        <w:rPr>
          <w:rFonts w:ascii="Arial" w:hAnsi="Arial" w:cs="Arial"/>
          <w:bCs/>
          <w:sz w:val="24"/>
          <w:lang w:val="es-PR"/>
        </w:rPr>
        <w:t>, el hecho de enterarse</w:t>
      </w:r>
      <w:r w:rsidR="00027BFE">
        <w:rPr>
          <w:rFonts w:ascii="Arial" w:hAnsi="Arial" w:cs="Arial"/>
          <w:bCs/>
          <w:sz w:val="24"/>
          <w:lang w:val="es-PR"/>
        </w:rPr>
        <w:t xml:space="preserve"> de su otorgación dentro de los</w:t>
      </w:r>
      <w:r>
        <w:rPr>
          <w:rFonts w:ascii="Arial" w:hAnsi="Arial" w:cs="Arial"/>
          <w:bCs/>
          <w:sz w:val="24"/>
          <w:lang w:val="es-PR"/>
        </w:rPr>
        <w:t xml:space="preserve"> </w:t>
      </w:r>
      <w:r w:rsidR="00027BFE">
        <w:rPr>
          <w:rFonts w:ascii="Arial" w:hAnsi="Arial" w:cs="Arial"/>
          <w:bCs/>
          <w:sz w:val="24"/>
          <w:lang w:val="es-PR"/>
        </w:rPr>
        <w:t>cuatro (4) días laborables antes de vencer el término para que las partes reconocidas recurrieran en revisión administrativa</w:t>
      </w:r>
      <w:r w:rsidR="00027BFE">
        <w:rPr>
          <w:rStyle w:val="FootnoteReference"/>
          <w:rFonts w:ascii="Arial" w:hAnsi="Arial" w:cs="Arial"/>
          <w:bCs/>
          <w:sz w:val="24"/>
          <w:lang w:val="es-PR"/>
        </w:rPr>
        <w:footnoteReference w:id="7"/>
      </w:r>
      <w:r w:rsidR="00027BFE">
        <w:rPr>
          <w:rFonts w:ascii="Arial" w:hAnsi="Arial" w:cs="Arial"/>
          <w:bCs/>
          <w:sz w:val="24"/>
          <w:lang w:val="es-PR"/>
        </w:rPr>
        <w:t xml:space="preserve">, </w:t>
      </w:r>
      <w:r w:rsidR="006C6994">
        <w:rPr>
          <w:rFonts w:ascii="Arial" w:hAnsi="Arial" w:cs="Arial"/>
          <w:bCs/>
          <w:sz w:val="24"/>
          <w:lang w:val="es-PR"/>
        </w:rPr>
        <w:t>porque los RECURRENTES encontrarno</w:t>
      </w:r>
      <w:r w:rsidR="00027BFE">
        <w:rPr>
          <w:rFonts w:ascii="Arial" w:hAnsi="Arial" w:cs="Arial"/>
          <w:bCs/>
          <w:sz w:val="24"/>
          <w:lang w:val="es-PR"/>
        </w:rPr>
        <w:t xml:space="preserve"> el mismo en una copia del expediente completo, coloca a esta PARTE RECURRENTE en la posición de la </w:t>
      </w:r>
      <w:r w:rsidR="006C6994">
        <w:rPr>
          <w:rFonts w:ascii="Arial" w:hAnsi="Arial" w:cs="Arial"/>
          <w:bCs/>
          <w:sz w:val="24"/>
          <w:lang w:val="es-PR"/>
        </w:rPr>
        <w:t>“</w:t>
      </w:r>
      <w:r w:rsidR="00027BFE">
        <w:rPr>
          <w:rFonts w:ascii="Arial" w:hAnsi="Arial" w:cs="Arial"/>
          <w:bCs/>
          <w:sz w:val="24"/>
          <w:lang w:val="es-PR"/>
        </w:rPr>
        <w:t>notificación constructiva</w:t>
      </w:r>
      <w:r w:rsidR="006C6994">
        <w:rPr>
          <w:rFonts w:ascii="Arial" w:hAnsi="Arial" w:cs="Arial"/>
          <w:bCs/>
          <w:sz w:val="24"/>
          <w:lang w:val="es-PR"/>
        </w:rPr>
        <w:t>”</w:t>
      </w:r>
      <w:r w:rsidR="00BC3520">
        <w:rPr>
          <w:rFonts w:ascii="Arial" w:hAnsi="Arial" w:cs="Arial"/>
          <w:bCs/>
          <w:sz w:val="24"/>
          <w:lang w:val="es-PR"/>
        </w:rPr>
        <w:t>, que</w:t>
      </w:r>
      <w:r w:rsidR="006C6994">
        <w:rPr>
          <w:rFonts w:ascii="Arial" w:hAnsi="Arial" w:cs="Arial"/>
          <w:bCs/>
          <w:sz w:val="24"/>
          <w:lang w:val="es-PR"/>
        </w:rPr>
        <w:t>, en atención a las circunstancias específicas de este caso, “</w:t>
      </w:r>
      <w:r w:rsidR="006C6994" w:rsidRPr="006C6994">
        <w:rPr>
          <w:rFonts w:ascii="Arial" w:hAnsi="Arial" w:cs="Arial"/>
          <w:bCs/>
          <w:sz w:val="24"/>
          <w:lang w:val="es-PR"/>
        </w:rPr>
        <w:t>no bastaba</w:t>
      </w:r>
      <w:r w:rsidR="006C6994">
        <w:rPr>
          <w:rFonts w:ascii="Arial" w:hAnsi="Arial" w:cs="Arial"/>
          <w:bCs/>
          <w:sz w:val="24"/>
          <w:lang w:val="es-PR"/>
        </w:rPr>
        <w:t>…</w:t>
      </w:r>
      <w:r w:rsidR="006C6994" w:rsidRPr="006C6994">
        <w:rPr>
          <w:rFonts w:ascii="Arial" w:hAnsi="Arial" w:cs="Arial"/>
          <w:bCs/>
          <w:sz w:val="24"/>
          <w:lang w:val="es-PR"/>
        </w:rPr>
        <w:t xml:space="preserve"> para que comenzara a decursar el referido término jurisdiccional</w:t>
      </w:r>
      <w:r w:rsidR="006C6994">
        <w:rPr>
          <w:rFonts w:ascii="Arial" w:hAnsi="Arial" w:cs="Arial"/>
          <w:bCs/>
          <w:sz w:val="24"/>
          <w:lang w:val="es-PR"/>
        </w:rPr>
        <w:t xml:space="preserve">”, </w:t>
      </w:r>
      <w:r w:rsidR="006C6994">
        <w:rPr>
          <w:rFonts w:ascii="Arial" w:hAnsi="Arial" w:cs="Arial"/>
          <w:bCs/>
          <w:sz w:val="24"/>
          <w:u w:val="single"/>
          <w:lang w:val="es-PR"/>
        </w:rPr>
        <w:t>Asoc. Residentes v Montebello</w:t>
      </w:r>
      <w:r w:rsidR="006C6994">
        <w:rPr>
          <w:rFonts w:ascii="Arial" w:hAnsi="Arial" w:cs="Arial"/>
          <w:bCs/>
          <w:sz w:val="24"/>
          <w:lang w:val="es-PR"/>
        </w:rPr>
        <w:t xml:space="preserve">, </w:t>
      </w:r>
      <w:r w:rsidR="006C6994">
        <w:rPr>
          <w:rFonts w:ascii="Arial" w:hAnsi="Arial" w:cs="Arial"/>
          <w:bCs/>
          <w:i/>
          <w:sz w:val="24"/>
          <w:lang w:val="es-PR"/>
        </w:rPr>
        <w:t>supra</w:t>
      </w:r>
      <w:r w:rsidR="006C6994">
        <w:rPr>
          <w:rFonts w:ascii="Arial" w:hAnsi="Arial" w:cs="Arial"/>
          <w:b/>
          <w:bCs/>
          <w:sz w:val="24"/>
          <w:lang w:val="es-PR"/>
        </w:rPr>
        <w:t xml:space="preserve">, </w:t>
      </w:r>
      <w:r w:rsidR="006C6994">
        <w:rPr>
          <w:rFonts w:ascii="Arial" w:hAnsi="Arial" w:cs="Arial"/>
          <w:bCs/>
          <w:sz w:val="24"/>
          <w:lang w:val="es-PR"/>
        </w:rPr>
        <w:t>pág. 421.</w:t>
      </w:r>
    </w:p>
    <w:p w:rsidR="006C6994" w:rsidRPr="006C6994" w:rsidRDefault="006C6994" w:rsidP="000C5254">
      <w:pPr>
        <w:pStyle w:val="BodyText"/>
        <w:ind w:firstLine="360"/>
        <w:jc w:val="both"/>
        <w:rPr>
          <w:rFonts w:ascii="Arial" w:hAnsi="Arial" w:cs="Arial"/>
          <w:bCs/>
          <w:sz w:val="24"/>
          <w:lang w:val="es-PR"/>
        </w:rPr>
      </w:pPr>
      <w:r>
        <w:rPr>
          <w:rFonts w:ascii="Arial" w:hAnsi="Arial" w:cs="Arial"/>
          <w:bCs/>
          <w:sz w:val="24"/>
          <w:lang w:val="es-PR"/>
        </w:rPr>
        <w:t xml:space="preserve">Entonces, en esa misma semana de enterarse del </w:t>
      </w:r>
      <w:r>
        <w:rPr>
          <w:rFonts w:ascii="Arial" w:hAnsi="Arial" w:cs="Arial"/>
          <w:bCs/>
          <w:i/>
          <w:sz w:val="24"/>
          <w:lang w:val="es-PR"/>
        </w:rPr>
        <w:t xml:space="preserve">PERMISO IMPUGNADO, </w:t>
      </w:r>
      <w:r>
        <w:rPr>
          <w:rFonts w:ascii="Arial" w:hAnsi="Arial" w:cs="Arial"/>
          <w:bCs/>
          <w:sz w:val="24"/>
          <w:lang w:val="es-PR"/>
        </w:rPr>
        <w:t xml:space="preserve">el día viernes 17 de junio de 2022, por la tarde, los RECURRENTES contrataron con el abogado suscribiente para presentar dicha oposición. Al próximo día laborable de haber sido contratado el abogado suscribiente, el 21 de junio de 2022, iniciamos la presentación del </w:t>
      </w:r>
      <w:r w:rsidRPr="00BD16EF">
        <w:rPr>
          <w:rFonts w:ascii="Arial" w:hAnsi="Arial" w:cs="Arial"/>
          <w:bCs/>
          <w:i/>
          <w:sz w:val="24"/>
          <w:lang w:val="es-PR"/>
        </w:rPr>
        <w:t>RRA</w:t>
      </w:r>
      <w:r>
        <w:rPr>
          <w:rFonts w:ascii="Arial" w:hAnsi="Arial" w:cs="Arial"/>
          <w:bCs/>
          <w:sz w:val="24"/>
          <w:lang w:val="es-PR"/>
        </w:rPr>
        <w:t xml:space="preserve">; cargando los archivos digitales al </w:t>
      </w:r>
      <w:r>
        <w:rPr>
          <w:rFonts w:ascii="Arial" w:hAnsi="Arial" w:cs="Arial"/>
          <w:bCs/>
          <w:i/>
          <w:sz w:val="24"/>
          <w:lang w:val="es-PR"/>
        </w:rPr>
        <w:t xml:space="preserve">Single Business Portal </w:t>
      </w:r>
      <w:r>
        <w:rPr>
          <w:rFonts w:ascii="Arial" w:hAnsi="Arial" w:cs="Arial"/>
          <w:bCs/>
          <w:sz w:val="24"/>
          <w:lang w:val="es-PR"/>
        </w:rPr>
        <w:t xml:space="preserve">(SBP) de la OGPe a las 11:30 p.m. A diferencia de lo determinado por el Hon. TA, el pago del arancel del recurso </w:t>
      </w:r>
      <w:r w:rsidRPr="006D3EAF">
        <w:rPr>
          <w:rFonts w:ascii="Arial" w:hAnsi="Arial" w:cs="Arial"/>
          <w:bCs/>
          <w:sz w:val="24"/>
          <w:u w:val="single"/>
          <w:lang w:val="es-PR"/>
        </w:rPr>
        <w:t>no</w:t>
      </w:r>
      <w:r>
        <w:rPr>
          <w:rFonts w:ascii="Arial" w:hAnsi="Arial" w:cs="Arial"/>
          <w:bCs/>
          <w:sz w:val="24"/>
          <w:lang w:val="es-PR"/>
        </w:rPr>
        <w:t xml:space="preserve"> “fue procesado </w:t>
      </w:r>
      <w:r w:rsidRPr="006A7420">
        <w:rPr>
          <w:rFonts w:ascii="Arial" w:hAnsi="Arial" w:cs="Arial"/>
          <w:bCs/>
          <w:sz w:val="24"/>
          <w:u w:val="single"/>
          <w:lang w:val="es-PR"/>
        </w:rPr>
        <w:t xml:space="preserve">a las </w:t>
      </w:r>
      <w:r w:rsidRPr="006A7420">
        <w:rPr>
          <w:rFonts w:ascii="Arial" w:hAnsi="Arial" w:cs="Arial"/>
          <w:b/>
          <w:bCs/>
          <w:sz w:val="24"/>
          <w:u w:val="single"/>
          <w:lang w:val="es-PR"/>
        </w:rPr>
        <w:t>12:00 a.m. del día siguiente, 22 de junio de 2022</w:t>
      </w:r>
      <w:r>
        <w:rPr>
          <w:rFonts w:ascii="Arial" w:hAnsi="Arial" w:cs="Arial"/>
          <w:bCs/>
          <w:sz w:val="24"/>
          <w:lang w:val="es-PR"/>
        </w:rPr>
        <w:t xml:space="preserve">” </w:t>
      </w:r>
      <w:r>
        <w:rPr>
          <w:rStyle w:val="FootnoteReference"/>
          <w:rFonts w:ascii="Arial" w:hAnsi="Arial" w:cs="Arial"/>
          <w:bCs/>
          <w:sz w:val="24"/>
          <w:lang w:val="es-PR"/>
        </w:rPr>
        <w:footnoteReference w:id="8"/>
      </w:r>
      <w:r>
        <w:rPr>
          <w:rFonts w:ascii="Arial" w:hAnsi="Arial" w:cs="Arial"/>
          <w:bCs/>
          <w:sz w:val="24"/>
          <w:lang w:val="es-PR"/>
        </w:rPr>
        <w:t xml:space="preserve">; sino que, precisamente, a las 12:00 a.m. fue </w:t>
      </w:r>
      <w:r w:rsidRPr="001255FD">
        <w:rPr>
          <w:rFonts w:ascii="Arial" w:hAnsi="Arial" w:cs="Arial"/>
          <w:bCs/>
          <w:sz w:val="24"/>
          <w:u w:val="single"/>
          <w:lang w:val="es-PR"/>
        </w:rPr>
        <w:t>notificado</w:t>
      </w:r>
      <w:r>
        <w:rPr>
          <w:rFonts w:ascii="Arial" w:hAnsi="Arial" w:cs="Arial"/>
          <w:bCs/>
          <w:sz w:val="24"/>
          <w:lang w:val="es-PR"/>
        </w:rPr>
        <w:t xml:space="preserve"> el </w:t>
      </w:r>
      <w:r w:rsidRPr="001255FD">
        <w:rPr>
          <w:rFonts w:ascii="Arial" w:hAnsi="Arial" w:cs="Arial"/>
          <w:bCs/>
          <w:sz w:val="24"/>
          <w:u w:val="single"/>
          <w:lang w:val="es-PR"/>
        </w:rPr>
        <w:t xml:space="preserve">procesamiento </w:t>
      </w:r>
      <w:r w:rsidRPr="00672E91">
        <w:rPr>
          <w:rFonts w:ascii="Arial" w:hAnsi="Arial" w:cs="Arial"/>
          <w:bCs/>
          <w:i/>
          <w:sz w:val="24"/>
          <w:u w:val="single"/>
          <w:lang w:val="es-PR"/>
        </w:rPr>
        <w:t>previo</w:t>
      </w:r>
      <w:r w:rsidRPr="001255FD">
        <w:rPr>
          <w:rFonts w:ascii="Arial" w:hAnsi="Arial" w:cs="Arial"/>
          <w:bCs/>
          <w:sz w:val="24"/>
          <w:u w:val="single"/>
          <w:lang w:val="es-PR"/>
        </w:rPr>
        <w:t xml:space="preserve"> del pago</w:t>
      </w:r>
      <w:r>
        <w:rPr>
          <w:rFonts w:ascii="Arial" w:hAnsi="Arial" w:cs="Arial"/>
          <w:bCs/>
          <w:sz w:val="24"/>
          <w:lang w:val="es-PR"/>
        </w:rPr>
        <w:t xml:space="preserve"> del arancel. Luego cargamos otros documentos al sistema, en el mismo caso</w:t>
      </w:r>
      <w:r w:rsidR="00C8412F" w:rsidRPr="00C8412F">
        <w:rPr>
          <w:rFonts w:ascii="Arial" w:hAnsi="Arial" w:cs="Arial"/>
          <w:bCs/>
          <w:iCs/>
          <w:sz w:val="24"/>
          <w:szCs w:val="22"/>
          <w:vertAlign w:val="superscript"/>
          <w:lang w:val="es-PR"/>
        </w:rPr>
        <w:footnoteReference w:id="9"/>
      </w:r>
      <w:r>
        <w:rPr>
          <w:rFonts w:ascii="Arial" w:hAnsi="Arial" w:cs="Arial"/>
          <w:bCs/>
          <w:sz w:val="24"/>
          <w:lang w:val="es-PR"/>
        </w:rPr>
        <w:t>.</w:t>
      </w:r>
    </w:p>
    <w:p w:rsidR="001255FD" w:rsidRDefault="001255FD" w:rsidP="000C5254">
      <w:pPr>
        <w:pStyle w:val="BodyText"/>
        <w:ind w:firstLine="360"/>
        <w:jc w:val="both"/>
        <w:rPr>
          <w:rFonts w:ascii="Arial" w:hAnsi="Arial" w:cs="Arial"/>
          <w:bCs/>
          <w:sz w:val="24"/>
          <w:lang w:val="es-PR"/>
        </w:rPr>
      </w:pPr>
      <w:r>
        <w:rPr>
          <w:rFonts w:ascii="Arial" w:hAnsi="Arial" w:cs="Arial"/>
          <w:bCs/>
          <w:sz w:val="24"/>
          <w:lang w:val="es-PR"/>
        </w:rPr>
        <w:t>Así las cosas</w:t>
      </w:r>
      <w:r w:rsidR="00672E91">
        <w:rPr>
          <w:rFonts w:ascii="Arial" w:hAnsi="Arial" w:cs="Arial"/>
          <w:bCs/>
          <w:sz w:val="24"/>
          <w:lang w:val="es-PR"/>
        </w:rPr>
        <w:t>, dentro del término de 15 días de presentado el RRA</w:t>
      </w:r>
      <w:r w:rsidR="00672E91">
        <w:rPr>
          <w:rStyle w:val="FootnoteReference"/>
          <w:rFonts w:ascii="Arial" w:hAnsi="Arial" w:cs="Arial"/>
          <w:bCs/>
          <w:sz w:val="24"/>
          <w:lang w:val="es-PR"/>
        </w:rPr>
        <w:footnoteReference w:id="10"/>
      </w:r>
      <w:r w:rsidR="00672E91">
        <w:rPr>
          <w:rFonts w:ascii="Arial" w:hAnsi="Arial" w:cs="Arial"/>
          <w:bCs/>
          <w:sz w:val="24"/>
          <w:lang w:val="es-PR"/>
        </w:rPr>
        <w:t>, el día 6 de julio de 2022</w:t>
      </w:r>
      <w:r w:rsidR="00586408">
        <w:rPr>
          <w:rFonts w:ascii="Arial" w:hAnsi="Arial" w:cs="Arial"/>
          <w:bCs/>
          <w:sz w:val="24"/>
          <w:lang w:val="es-PR"/>
        </w:rPr>
        <w:t>, notificado su archivo en autos el mismo día</w:t>
      </w:r>
      <w:r w:rsidR="00672E91">
        <w:rPr>
          <w:rFonts w:ascii="Arial" w:hAnsi="Arial" w:cs="Arial"/>
          <w:bCs/>
          <w:sz w:val="24"/>
          <w:lang w:val="es-PR"/>
        </w:rPr>
        <w:t xml:space="preserve">, la DRA-OGPe emitió su determinación no acogiendo el mismo, fundamentado en que </w:t>
      </w:r>
      <w:r w:rsidR="006D3EAF">
        <w:rPr>
          <w:rFonts w:ascii="Arial" w:hAnsi="Arial" w:cs="Arial"/>
          <w:bCs/>
          <w:sz w:val="24"/>
          <w:lang w:val="es-PR"/>
        </w:rPr>
        <w:t>‘[l]a revisión administrativa fue presentada fuera del</w:t>
      </w:r>
      <w:r w:rsidR="00672E91">
        <w:rPr>
          <w:rFonts w:ascii="Arial" w:hAnsi="Arial" w:cs="Arial"/>
          <w:bCs/>
          <w:sz w:val="24"/>
          <w:lang w:val="es-PR"/>
        </w:rPr>
        <w:t xml:space="preserve"> término jurisdiccional de </w:t>
      </w:r>
      <w:r w:rsidR="006D3EAF">
        <w:rPr>
          <w:rFonts w:ascii="Arial" w:hAnsi="Arial" w:cs="Arial"/>
          <w:bCs/>
          <w:sz w:val="24"/>
          <w:lang w:val="es-PR"/>
        </w:rPr>
        <w:t xml:space="preserve">veinte (20) días establecido.” </w:t>
      </w:r>
      <w:r w:rsidR="006D3EAF">
        <w:rPr>
          <w:rStyle w:val="FootnoteReference"/>
          <w:rFonts w:ascii="Arial" w:hAnsi="Arial" w:cs="Arial"/>
          <w:bCs/>
          <w:sz w:val="24"/>
          <w:lang w:val="es-PR"/>
        </w:rPr>
        <w:footnoteReference w:id="11"/>
      </w:r>
      <w:r w:rsidR="006D3EAF">
        <w:rPr>
          <w:rFonts w:ascii="Arial" w:hAnsi="Arial" w:cs="Arial"/>
          <w:bCs/>
          <w:sz w:val="24"/>
          <w:lang w:val="es-PR"/>
        </w:rPr>
        <w:t xml:space="preserve">. </w:t>
      </w:r>
      <w:r w:rsidR="00F6280C">
        <w:rPr>
          <w:rFonts w:ascii="Arial" w:hAnsi="Arial" w:cs="Arial"/>
          <w:bCs/>
          <w:sz w:val="24"/>
          <w:lang w:val="es-PR"/>
        </w:rPr>
        <w:t xml:space="preserve">Dentro de los próximos treinta (30) días de la anterior notificación de decisión de la DRA-OGPe esta PARTE PETICIONARIA presentó Recurso de Revisión Judicial de la </w:t>
      </w:r>
      <w:r w:rsidR="005D1379">
        <w:rPr>
          <w:rFonts w:ascii="Arial" w:hAnsi="Arial" w:cs="Arial"/>
          <w:bCs/>
          <w:sz w:val="24"/>
          <w:lang w:val="es-PR"/>
        </w:rPr>
        <w:t xml:space="preserve">antedicha </w:t>
      </w:r>
      <w:r w:rsidR="00F6280C">
        <w:rPr>
          <w:rFonts w:ascii="Arial" w:hAnsi="Arial" w:cs="Arial"/>
          <w:bCs/>
          <w:sz w:val="24"/>
          <w:lang w:val="es-PR"/>
        </w:rPr>
        <w:t xml:space="preserve">determinación </w:t>
      </w:r>
      <w:r w:rsidR="005D1379">
        <w:rPr>
          <w:rFonts w:ascii="Arial" w:hAnsi="Arial" w:cs="Arial"/>
          <w:bCs/>
          <w:sz w:val="24"/>
          <w:lang w:val="es-PR"/>
        </w:rPr>
        <w:t xml:space="preserve">final </w:t>
      </w:r>
      <w:r w:rsidR="00F6280C">
        <w:rPr>
          <w:rFonts w:ascii="Arial" w:hAnsi="Arial" w:cs="Arial"/>
          <w:bCs/>
          <w:sz w:val="24"/>
          <w:lang w:val="es-PR"/>
        </w:rPr>
        <w:t>de la DRA-OGPe ante el Hon. Tribunal de Apelaciones, en el caso de epígrafe ante el mismo (en adelante el RRJ)</w:t>
      </w:r>
      <w:r w:rsidR="00F6280C">
        <w:rPr>
          <w:rStyle w:val="FootnoteReference"/>
          <w:rFonts w:ascii="Arial" w:hAnsi="Arial" w:cs="Arial"/>
          <w:bCs/>
          <w:sz w:val="24"/>
          <w:lang w:val="es-PR"/>
        </w:rPr>
        <w:footnoteReference w:id="12"/>
      </w:r>
      <w:r w:rsidR="00F6280C">
        <w:rPr>
          <w:rFonts w:ascii="Arial" w:hAnsi="Arial" w:cs="Arial"/>
          <w:bCs/>
          <w:sz w:val="24"/>
          <w:lang w:val="es-PR"/>
        </w:rPr>
        <w:t>.</w:t>
      </w:r>
      <w:r w:rsidR="005D1379">
        <w:rPr>
          <w:rFonts w:ascii="Arial" w:hAnsi="Arial" w:cs="Arial"/>
          <w:bCs/>
          <w:sz w:val="24"/>
          <w:lang w:val="es-PR"/>
        </w:rPr>
        <w:t xml:space="preserve"> </w:t>
      </w:r>
    </w:p>
    <w:p w:rsidR="00586408" w:rsidRPr="001E5C20" w:rsidRDefault="00586408" w:rsidP="000C5254">
      <w:pPr>
        <w:pStyle w:val="BodyText"/>
        <w:ind w:firstLine="360"/>
        <w:jc w:val="both"/>
        <w:rPr>
          <w:rFonts w:ascii="Arial" w:hAnsi="Arial" w:cs="Arial"/>
          <w:bCs/>
          <w:sz w:val="24"/>
          <w:lang w:val="es-PR"/>
        </w:rPr>
      </w:pPr>
      <w:r>
        <w:rPr>
          <w:rFonts w:ascii="Arial" w:hAnsi="Arial" w:cs="Arial"/>
          <w:bCs/>
          <w:sz w:val="24"/>
          <w:lang w:val="es-PR"/>
        </w:rPr>
        <w:t xml:space="preserve">Entonces, </w:t>
      </w:r>
      <w:r w:rsidR="006B257B">
        <w:rPr>
          <w:rFonts w:ascii="Arial" w:hAnsi="Arial" w:cs="Arial"/>
          <w:bCs/>
          <w:sz w:val="24"/>
          <w:lang w:val="es-PR"/>
        </w:rPr>
        <w:t xml:space="preserve">el pasado </w:t>
      </w:r>
      <w:r>
        <w:rPr>
          <w:rFonts w:ascii="Arial" w:hAnsi="Arial" w:cs="Arial"/>
          <w:bCs/>
          <w:sz w:val="24"/>
          <w:lang w:val="es-PR"/>
        </w:rPr>
        <w:t xml:space="preserve">día 11 de octubre de 2022, </w:t>
      </w:r>
      <w:r w:rsidR="006B257B">
        <w:rPr>
          <w:rFonts w:ascii="Arial" w:hAnsi="Arial" w:cs="Arial"/>
          <w:bCs/>
          <w:sz w:val="24"/>
          <w:lang w:val="es-PR"/>
        </w:rPr>
        <w:t xml:space="preserve">notificado su archivo en autos al próximo el día 12 del mismo mes y año, el Hon. TA emitió su </w:t>
      </w:r>
      <w:r w:rsidR="006B257B">
        <w:rPr>
          <w:rFonts w:ascii="Arial" w:hAnsi="Arial" w:cs="Arial"/>
          <w:bCs/>
          <w:i/>
          <w:sz w:val="24"/>
          <w:lang w:val="es-PR"/>
        </w:rPr>
        <w:t xml:space="preserve">SENTENCIA </w:t>
      </w:r>
      <w:r w:rsidR="006B257B">
        <w:rPr>
          <w:rFonts w:ascii="Arial" w:hAnsi="Arial" w:cs="Arial"/>
          <w:bCs/>
          <w:sz w:val="24"/>
          <w:lang w:val="es-PR"/>
        </w:rPr>
        <w:t>en el caso de epígrafe, y que aquí se solicita revisar. En la misma confirmó la determinación de falta de jurisdicción de la DRA-OGPe concluyendo que por la notificación constructiva (al encontrar el permiso en el expediente) “la parte recurrente quedó debidamente notificada de la decisión tomada por la OGPe de expedir el permiso de construcción a favor de QMC. En consecuencia, le aplicaba el término jurisdiccional de veinte (20) días.”</w:t>
      </w:r>
      <w:r w:rsidR="006B257B">
        <w:rPr>
          <w:rStyle w:val="FootnoteReference"/>
          <w:rFonts w:ascii="Arial" w:hAnsi="Arial" w:cs="Arial"/>
          <w:bCs/>
          <w:sz w:val="24"/>
          <w:lang w:val="es-PR"/>
        </w:rPr>
        <w:footnoteReference w:id="13"/>
      </w:r>
      <w:r w:rsidR="001E5C20">
        <w:rPr>
          <w:rFonts w:ascii="Arial" w:hAnsi="Arial" w:cs="Arial"/>
          <w:bCs/>
          <w:sz w:val="24"/>
          <w:lang w:val="es-PR"/>
        </w:rPr>
        <w:t xml:space="preserve"> Siendo que el día antes de emitida la anterior </w:t>
      </w:r>
      <w:r w:rsidR="001E5C20">
        <w:rPr>
          <w:rFonts w:ascii="Arial" w:hAnsi="Arial" w:cs="Arial"/>
          <w:bCs/>
          <w:i/>
          <w:sz w:val="24"/>
          <w:lang w:val="es-PR"/>
        </w:rPr>
        <w:t>SENTENCIA</w:t>
      </w:r>
      <w:r w:rsidR="001E5C20">
        <w:rPr>
          <w:rFonts w:ascii="Arial" w:hAnsi="Arial" w:cs="Arial"/>
          <w:bCs/>
          <w:sz w:val="24"/>
          <w:lang w:val="es-PR"/>
        </w:rPr>
        <w:t xml:space="preserve"> esta PARTE PETICIONARIA había solicitado un auxilio de jurisdicción a Hon. TA, porque QMC llegó a la comunidad de la PARTE PETICIONARIA a comenzar la construcción del proyecto de marras, esta PARTE PETICIONARIA, como estrategia forense por la urgencia que amerita el caso, no nos arriesgamos a presentar una solicitud de reconsideración (en atención a la posible dilación en conseguir auxilio para evitar el daño que representa la construcción de la obra prohibida en terrenos clasificados como susceptibles a deslizamientos, de reafirmar tardíamente su posición el Hon. TA), nos apresuramos a presentar este recurso ante este Hon. Tribunal Supremo bien temprano adentro del término para solicitar la revisión de dicha </w:t>
      </w:r>
      <w:r w:rsidR="001E5C20">
        <w:rPr>
          <w:rFonts w:ascii="Arial" w:hAnsi="Arial" w:cs="Arial"/>
          <w:bCs/>
          <w:i/>
          <w:sz w:val="24"/>
          <w:lang w:val="es-PR"/>
        </w:rPr>
        <w:t xml:space="preserve">SENTENCIA </w:t>
      </w:r>
      <w:r w:rsidR="001E5C20">
        <w:rPr>
          <w:rStyle w:val="FootnoteReference"/>
          <w:rFonts w:ascii="Arial" w:hAnsi="Arial" w:cs="Arial"/>
          <w:bCs/>
          <w:i/>
          <w:sz w:val="24"/>
          <w:lang w:val="es-PR"/>
        </w:rPr>
        <w:footnoteReference w:id="14"/>
      </w:r>
      <w:r w:rsidR="001E5C20">
        <w:rPr>
          <w:rFonts w:ascii="Arial" w:hAnsi="Arial" w:cs="Arial"/>
          <w:bCs/>
          <w:sz w:val="24"/>
          <w:lang w:val="es-PR"/>
        </w:rPr>
        <w:t>.</w:t>
      </w:r>
    </w:p>
    <w:p w:rsidR="0046307B" w:rsidRPr="000E3D8E" w:rsidRDefault="000E3D8E" w:rsidP="000C5254">
      <w:pPr>
        <w:pStyle w:val="BodyText"/>
        <w:ind w:firstLine="360"/>
        <w:jc w:val="both"/>
        <w:rPr>
          <w:rFonts w:ascii="Arial" w:hAnsi="Arial" w:cs="Arial"/>
          <w:bCs/>
          <w:sz w:val="24"/>
          <w:lang w:val="es-PR"/>
        </w:rPr>
      </w:pPr>
      <w:r>
        <w:rPr>
          <w:rFonts w:ascii="Arial" w:hAnsi="Arial" w:cs="Arial"/>
          <w:bCs/>
          <w:sz w:val="24"/>
          <w:lang w:val="es-PR"/>
        </w:rPr>
        <w:t xml:space="preserve">Por entender, respetuosamente, que esta PARTE PETICIONARIA ha cumplido con los términos realmente aplicables para que se atienda la súplica de </w:t>
      </w:r>
      <w:r w:rsidR="007700A5">
        <w:rPr>
          <w:rFonts w:ascii="Arial" w:hAnsi="Arial" w:cs="Arial"/>
          <w:bCs/>
          <w:sz w:val="24"/>
          <w:lang w:val="es-PR"/>
        </w:rPr>
        <w:t>los RECURRIDOS</w:t>
      </w:r>
      <w:r>
        <w:rPr>
          <w:rFonts w:ascii="Arial" w:hAnsi="Arial" w:cs="Arial"/>
          <w:bCs/>
          <w:sz w:val="24"/>
          <w:lang w:val="es-PR"/>
        </w:rPr>
        <w:t xml:space="preserve">, que </w:t>
      </w:r>
      <w:r w:rsidRPr="000E3D8E">
        <w:rPr>
          <w:rFonts w:ascii="Arial" w:hAnsi="Arial" w:cs="Arial"/>
          <w:bCs/>
          <w:sz w:val="24"/>
          <w:lang w:val="es-PR"/>
        </w:rPr>
        <w:t>estos son “residentes de un área de viviendas [que] tienen un interés legítimo en cuanto al uso y destino de los terrenos colindantes, sobre todo cuando una decisión sobre tales terrenos ha de tener un gran impacto y trascendencia para dichos residentes”</w:t>
      </w:r>
      <w:r w:rsidRPr="000E3D8E">
        <w:rPr>
          <w:rFonts w:ascii="Arial" w:hAnsi="Arial" w:cs="Arial"/>
          <w:bCs/>
          <w:sz w:val="24"/>
          <w:vertAlign w:val="superscript"/>
          <w:lang w:val="es-PR"/>
        </w:rPr>
        <w:footnoteReference w:id="15"/>
      </w:r>
      <w:r w:rsidRPr="000E3D8E">
        <w:rPr>
          <w:rFonts w:ascii="Arial" w:hAnsi="Arial" w:cs="Arial"/>
          <w:bCs/>
          <w:sz w:val="24"/>
          <w:lang w:val="es-PR"/>
        </w:rPr>
        <w:t xml:space="preserve"> por “el riesgo indudable de deslizamiento de tierras que [existe] en el lugar y que [pone] incluso la vida de los vecinos en grave peligro”</w:t>
      </w:r>
      <w:r w:rsidRPr="000E3D8E">
        <w:rPr>
          <w:rFonts w:ascii="Arial" w:hAnsi="Arial" w:cs="Arial"/>
          <w:bCs/>
          <w:sz w:val="24"/>
          <w:vertAlign w:val="superscript"/>
          <w:lang w:val="es-PR"/>
        </w:rPr>
        <w:footnoteReference w:id="16"/>
      </w:r>
      <w:r>
        <w:rPr>
          <w:rFonts w:ascii="Arial" w:hAnsi="Arial" w:cs="Arial"/>
          <w:bCs/>
          <w:sz w:val="24"/>
          <w:lang w:val="es-PR"/>
        </w:rPr>
        <w:t xml:space="preserve">, ante los foros competentes y con autoridad para atenderla; entendemos, humildemente, que este Hon. Tribunal Supremo tiene la jurisdicción para revisar, en </w:t>
      </w:r>
      <w:r>
        <w:rPr>
          <w:rFonts w:ascii="Arial" w:hAnsi="Arial" w:cs="Arial"/>
          <w:bCs/>
          <w:i/>
          <w:sz w:val="24"/>
          <w:lang w:val="es-PR"/>
        </w:rPr>
        <w:t>certiorari</w:t>
      </w:r>
      <w:r>
        <w:rPr>
          <w:rFonts w:ascii="Arial" w:hAnsi="Arial" w:cs="Arial"/>
          <w:bCs/>
          <w:sz w:val="24"/>
          <w:lang w:val="es-PR"/>
        </w:rPr>
        <w:t xml:space="preserve">, la </w:t>
      </w:r>
      <w:r>
        <w:rPr>
          <w:rFonts w:ascii="Arial" w:hAnsi="Arial" w:cs="Arial"/>
          <w:bCs/>
          <w:i/>
          <w:sz w:val="24"/>
          <w:lang w:val="es-PR"/>
        </w:rPr>
        <w:t>SENTENCIA</w:t>
      </w:r>
      <w:r>
        <w:rPr>
          <w:rFonts w:ascii="Arial" w:hAnsi="Arial" w:cs="Arial"/>
          <w:bCs/>
          <w:sz w:val="24"/>
          <w:lang w:val="es-PR"/>
        </w:rPr>
        <w:t xml:space="preserve"> aludida, emitida por el Hon. TA. </w:t>
      </w:r>
    </w:p>
    <w:p w:rsidR="000C5254" w:rsidRPr="00CB137A" w:rsidRDefault="00CB137A" w:rsidP="000C5254">
      <w:pPr>
        <w:pStyle w:val="BodyText"/>
        <w:numPr>
          <w:ilvl w:val="0"/>
          <w:numId w:val="16"/>
        </w:numPr>
        <w:ind w:left="360"/>
        <w:jc w:val="both"/>
        <w:rPr>
          <w:rFonts w:ascii="Arial" w:hAnsi="Arial" w:cs="Arial"/>
          <w:b/>
          <w:bCs/>
          <w:sz w:val="24"/>
        </w:rPr>
      </w:pPr>
      <w:r w:rsidRPr="004200EA">
        <w:rPr>
          <w:rFonts w:ascii="Arial" w:hAnsi="Arial" w:cs="Arial"/>
          <w:b/>
          <w:bCs/>
          <w:sz w:val="24"/>
          <w:lang w:val="es-PR"/>
        </w:rPr>
        <w:t>REFERENCIA A LA SENTENCIA CUYA REVISIÓN SE SOLICITA</w:t>
      </w:r>
    </w:p>
    <w:p w:rsidR="00CB137A" w:rsidRDefault="00CB137A" w:rsidP="00CB137A">
      <w:pPr>
        <w:pStyle w:val="BodyText"/>
        <w:ind w:firstLine="360"/>
        <w:jc w:val="both"/>
        <w:rPr>
          <w:rFonts w:ascii="Arial" w:hAnsi="Arial" w:cs="Arial"/>
          <w:bCs/>
          <w:sz w:val="24"/>
          <w:lang w:val="es-PR"/>
        </w:rPr>
      </w:pPr>
      <w:r>
        <w:rPr>
          <w:rFonts w:ascii="Arial" w:hAnsi="Arial" w:cs="Arial"/>
          <w:bCs/>
          <w:sz w:val="24"/>
          <w:lang w:val="es-PR"/>
        </w:rPr>
        <w:t xml:space="preserve">De este Honorable Tribunal Supremo se solicita la revisión de la sentencia del caso </w:t>
      </w:r>
      <w:r w:rsidR="00207793">
        <w:rPr>
          <w:rFonts w:ascii="Arial" w:hAnsi="Arial" w:cs="Arial"/>
          <w:b/>
          <w:bCs/>
          <w:sz w:val="24"/>
          <w:lang w:val="es-PR"/>
        </w:rPr>
        <w:t>Torres Trinidad y Otros v OGPe y QMC Telecom</w:t>
      </w:r>
      <w:r>
        <w:rPr>
          <w:rFonts w:ascii="Arial" w:hAnsi="Arial" w:cs="Arial"/>
          <w:b/>
          <w:bCs/>
          <w:sz w:val="24"/>
          <w:lang w:val="es-PR"/>
        </w:rPr>
        <w:t xml:space="preserve">, </w:t>
      </w:r>
      <w:r w:rsidR="00207793">
        <w:rPr>
          <w:rFonts w:ascii="Arial" w:hAnsi="Arial" w:cs="Arial"/>
          <w:b/>
          <w:bCs/>
          <w:sz w:val="24"/>
          <w:lang w:val="es-PR"/>
        </w:rPr>
        <w:t>T.A.</w:t>
      </w:r>
      <w:r>
        <w:rPr>
          <w:rFonts w:ascii="Arial" w:hAnsi="Arial" w:cs="Arial"/>
          <w:b/>
          <w:bCs/>
          <w:sz w:val="24"/>
          <w:lang w:val="es-PR"/>
        </w:rPr>
        <w:t xml:space="preserve"> Núm. KLRA202</w:t>
      </w:r>
      <w:r w:rsidR="00207793">
        <w:rPr>
          <w:rFonts w:ascii="Arial" w:hAnsi="Arial" w:cs="Arial"/>
          <w:b/>
          <w:bCs/>
          <w:sz w:val="24"/>
          <w:lang w:val="es-PR"/>
        </w:rPr>
        <w:t>200</w:t>
      </w:r>
      <w:r>
        <w:rPr>
          <w:rFonts w:ascii="Arial" w:hAnsi="Arial" w:cs="Arial"/>
          <w:b/>
          <w:bCs/>
          <w:sz w:val="24"/>
          <w:lang w:val="es-PR"/>
        </w:rPr>
        <w:t>4</w:t>
      </w:r>
      <w:r w:rsidR="00207793">
        <w:rPr>
          <w:rFonts w:ascii="Arial" w:hAnsi="Arial" w:cs="Arial"/>
          <w:b/>
          <w:bCs/>
          <w:sz w:val="24"/>
          <w:lang w:val="es-PR"/>
        </w:rPr>
        <w:t>26</w:t>
      </w:r>
      <w:r w:rsidRPr="00CB137A">
        <w:rPr>
          <w:rFonts w:ascii="Arial" w:hAnsi="Arial" w:cs="Arial"/>
          <w:bCs/>
          <w:sz w:val="24"/>
          <w:lang w:val="es-PR"/>
        </w:rPr>
        <w:t xml:space="preserve">, </w:t>
      </w:r>
      <w:r>
        <w:rPr>
          <w:rFonts w:ascii="Arial" w:hAnsi="Arial" w:cs="Arial"/>
          <w:bCs/>
          <w:sz w:val="24"/>
          <w:lang w:val="es-PR"/>
        </w:rPr>
        <w:t xml:space="preserve">resuelto por </w:t>
      </w:r>
      <w:r w:rsidRPr="00CB137A">
        <w:rPr>
          <w:rFonts w:ascii="Arial" w:hAnsi="Arial" w:cs="Arial"/>
          <w:bCs/>
          <w:sz w:val="24"/>
          <w:lang w:val="es-PR"/>
        </w:rPr>
        <w:t xml:space="preserve">el </w:t>
      </w:r>
      <w:r>
        <w:rPr>
          <w:rFonts w:ascii="Arial" w:hAnsi="Arial" w:cs="Arial"/>
          <w:bCs/>
          <w:sz w:val="24"/>
          <w:lang w:val="es-PR"/>
        </w:rPr>
        <w:t xml:space="preserve">Honorable </w:t>
      </w:r>
      <w:r w:rsidRPr="00CB137A">
        <w:rPr>
          <w:rFonts w:ascii="Arial" w:hAnsi="Arial" w:cs="Arial"/>
          <w:bCs/>
          <w:sz w:val="24"/>
          <w:lang w:val="es-PR"/>
        </w:rPr>
        <w:t>Tribunal</w:t>
      </w:r>
      <w:r>
        <w:rPr>
          <w:rFonts w:ascii="Arial" w:hAnsi="Arial" w:cs="Arial"/>
          <w:bCs/>
          <w:sz w:val="24"/>
          <w:lang w:val="es-PR"/>
        </w:rPr>
        <w:t xml:space="preserve"> de Apelaciones, Panel X</w:t>
      </w:r>
      <w:r w:rsidR="00C72922">
        <w:rPr>
          <w:rFonts w:ascii="Arial" w:hAnsi="Arial" w:cs="Arial"/>
          <w:bCs/>
          <w:sz w:val="24"/>
          <w:lang w:val="es-PR"/>
        </w:rPr>
        <w:t>,</w:t>
      </w:r>
      <w:r>
        <w:rPr>
          <w:rFonts w:ascii="Arial" w:hAnsi="Arial" w:cs="Arial"/>
          <w:bCs/>
          <w:sz w:val="24"/>
          <w:lang w:val="es-PR"/>
        </w:rPr>
        <w:t xml:space="preserve"> de la </w:t>
      </w:r>
      <w:r w:rsidR="00C72922">
        <w:rPr>
          <w:rFonts w:ascii="Arial" w:hAnsi="Arial" w:cs="Arial"/>
          <w:bCs/>
          <w:sz w:val="24"/>
          <w:lang w:val="es-PR"/>
        </w:rPr>
        <w:t>Región</w:t>
      </w:r>
      <w:r>
        <w:rPr>
          <w:rFonts w:ascii="Arial" w:hAnsi="Arial" w:cs="Arial"/>
          <w:bCs/>
          <w:sz w:val="24"/>
          <w:lang w:val="es-PR"/>
        </w:rPr>
        <w:t xml:space="preserve"> de </w:t>
      </w:r>
      <w:r w:rsidR="00207793">
        <w:rPr>
          <w:rFonts w:ascii="Arial" w:hAnsi="Arial" w:cs="Arial"/>
          <w:bCs/>
          <w:sz w:val="24"/>
          <w:lang w:val="es-PR"/>
        </w:rPr>
        <w:t>Arecibo</w:t>
      </w:r>
      <w:r>
        <w:rPr>
          <w:rFonts w:ascii="Arial" w:hAnsi="Arial" w:cs="Arial"/>
          <w:bCs/>
          <w:sz w:val="24"/>
          <w:lang w:val="es-PR"/>
        </w:rPr>
        <w:t>, compuesto por l</w:t>
      </w:r>
      <w:r w:rsidR="00207793">
        <w:rPr>
          <w:rFonts w:ascii="Arial" w:hAnsi="Arial" w:cs="Arial"/>
          <w:bCs/>
          <w:sz w:val="24"/>
          <w:lang w:val="es-PR"/>
        </w:rPr>
        <w:t>o</w:t>
      </w:r>
      <w:r>
        <w:rPr>
          <w:rFonts w:ascii="Arial" w:hAnsi="Arial" w:cs="Arial"/>
          <w:bCs/>
          <w:sz w:val="24"/>
          <w:lang w:val="es-PR"/>
        </w:rPr>
        <w:t xml:space="preserve">s Honorables Jueces </w:t>
      </w:r>
      <w:r w:rsidR="00207793">
        <w:rPr>
          <w:rFonts w:ascii="Arial" w:hAnsi="Arial" w:cs="Arial"/>
          <w:bCs/>
          <w:sz w:val="24"/>
          <w:lang w:val="es-PR"/>
        </w:rPr>
        <w:t>Rodríguez Casillas (Presidente)</w:t>
      </w:r>
      <w:r>
        <w:rPr>
          <w:rFonts w:ascii="Arial" w:hAnsi="Arial" w:cs="Arial"/>
          <w:bCs/>
          <w:sz w:val="24"/>
          <w:lang w:val="es-PR"/>
        </w:rPr>
        <w:t xml:space="preserve">, </w:t>
      </w:r>
      <w:r w:rsidR="00207793">
        <w:rPr>
          <w:rFonts w:ascii="Arial" w:hAnsi="Arial" w:cs="Arial"/>
          <w:bCs/>
          <w:sz w:val="24"/>
          <w:lang w:val="es-PR"/>
        </w:rPr>
        <w:t>Adames Soto, Mateu Meléndez</w:t>
      </w:r>
      <w:r>
        <w:rPr>
          <w:rFonts w:ascii="Arial" w:hAnsi="Arial" w:cs="Arial"/>
          <w:bCs/>
          <w:sz w:val="24"/>
          <w:lang w:val="es-PR"/>
        </w:rPr>
        <w:t xml:space="preserve"> y </w:t>
      </w:r>
      <w:r w:rsidR="00207793">
        <w:rPr>
          <w:rFonts w:ascii="Arial" w:hAnsi="Arial" w:cs="Arial"/>
          <w:bCs/>
          <w:sz w:val="24"/>
          <w:lang w:val="es-PR"/>
        </w:rPr>
        <w:t>Marrero Guerrero</w:t>
      </w:r>
      <w:r>
        <w:rPr>
          <w:rFonts w:ascii="Arial" w:hAnsi="Arial" w:cs="Arial"/>
          <w:bCs/>
          <w:sz w:val="24"/>
          <w:lang w:val="es-PR"/>
        </w:rPr>
        <w:t xml:space="preserve"> el día </w:t>
      </w:r>
      <w:r w:rsidR="00207793">
        <w:rPr>
          <w:rFonts w:ascii="Arial" w:hAnsi="Arial" w:cs="Arial"/>
          <w:bCs/>
          <w:sz w:val="24"/>
          <w:lang w:val="es-PR"/>
        </w:rPr>
        <w:t>11</w:t>
      </w:r>
      <w:r>
        <w:rPr>
          <w:rFonts w:ascii="Arial" w:hAnsi="Arial" w:cs="Arial"/>
          <w:bCs/>
          <w:sz w:val="24"/>
          <w:lang w:val="es-PR"/>
        </w:rPr>
        <w:t xml:space="preserve"> de </w:t>
      </w:r>
      <w:r w:rsidR="00207793">
        <w:rPr>
          <w:rFonts w:ascii="Arial" w:hAnsi="Arial" w:cs="Arial"/>
          <w:bCs/>
          <w:sz w:val="24"/>
          <w:lang w:val="es-PR"/>
        </w:rPr>
        <w:t>octubre de 2022</w:t>
      </w:r>
      <w:r>
        <w:rPr>
          <w:rFonts w:ascii="Arial" w:hAnsi="Arial" w:cs="Arial"/>
          <w:bCs/>
          <w:sz w:val="24"/>
          <w:lang w:val="es-PR"/>
        </w:rPr>
        <w:t>, notificado su archivo en autos el día 1</w:t>
      </w:r>
      <w:r w:rsidR="00207793">
        <w:rPr>
          <w:rFonts w:ascii="Arial" w:hAnsi="Arial" w:cs="Arial"/>
          <w:bCs/>
          <w:sz w:val="24"/>
          <w:lang w:val="es-PR"/>
        </w:rPr>
        <w:t>2 de octubre de 2022</w:t>
      </w:r>
      <w:r>
        <w:rPr>
          <w:rFonts w:ascii="Arial" w:hAnsi="Arial" w:cs="Arial"/>
          <w:bCs/>
          <w:sz w:val="24"/>
          <w:lang w:val="es-PR"/>
        </w:rPr>
        <w:t>.</w:t>
      </w:r>
      <w:r w:rsidRPr="00CB137A">
        <w:rPr>
          <w:rFonts w:ascii="Arial" w:hAnsi="Arial" w:cs="Arial"/>
          <w:bCs/>
          <w:sz w:val="24"/>
          <w:lang w:val="es-PR"/>
        </w:rPr>
        <w:t xml:space="preserve"> </w:t>
      </w:r>
      <w:r>
        <w:rPr>
          <w:rFonts w:ascii="Arial" w:hAnsi="Arial" w:cs="Arial"/>
          <w:bCs/>
          <w:sz w:val="24"/>
          <w:lang w:val="es-PR"/>
        </w:rPr>
        <w:t xml:space="preserve">El termino para recurrir de la anterior </w:t>
      </w:r>
      <w:r>
        <w:rPr>
          <w:rFonts w:ascii="Arial" w:hAnsi="Arial" w:cs="Arial"/>
          <w:bCs/>
          <w:i/>
          <w:sz w:val="24"/>
          <w:lang w:val="es-PR"/>
        </w:rPr>
        <w:t xml:space="preserve">SENTENCIA </w:t>
      </w:r>
      <w:r w:rsidR="00207793">
        <w:rPr>
          <w:rFonts w:ascii="Arial" w:hAnsi="Arial" w:cs="Arial"/>
          <w:bCs/>
          <w:sz w:val="24"/>
          <w:lang w:val="es-PR"/>
        </w:rPr>
        <w:t>no f</w:t>
      </w:r>
      <w:r>
        <w:rPr>
          <w:rFonts w:ascii="Arial" w:hAnsi="Arial" w:cs="Arial"/>
          <w:bCs/>
          <w:sz w:val="24"/>
          <w:lang w:val="es-PR"/>
        </w:rPr>
        <w:t xml:space="preserve">ue interrumpido por </w:t>
      </w:r>
      <w:r w:rsidR="00207793">
        <w:rPr>
          <w:rFonts w:ascii="Arial" w:hAnsi="Arial" w:cs="Arial"/>
          <w:bCs/>
          <w:sz w:val="24"/>
          <w:lang w:val="es-PR"/>
        </w:rPr>
        <w:t>ninguna solicitud posterior</w:t>
      </w:r>
      <w:r>
        <w:rPr>
          <w:rFonts w:ascii="Arial" w:hAnsi="Arial" w:cs="Arial"/>
          <w:bCs/>
          <w:sz w:val="24"/>
          <w:lang w:val="es-PR"/>
        </w:rPr>
        <w:t xml:space="preserve">. </w:t>
      </w:r>
    </w:p>
    <w:p w:rsidR="00CB137A" w:rsidRPr="00CB137A" w:rsidRDefault="00CB137A" w:rsidP="00CB137A">
      <w:pPr>
        <w:pStyle w:val="BodyText"/>
        <w:ind w:firstLine="360"/>
        <w:jc w:val="both"/>
        <w:rPr>
          <w:rFonts w:ascii="Arial" w:hAnsi="Arial" w:cs="Arial"/>
          <w:bCs/>
          <w:sz w:val="24"/>
          <w:lang w:val="es-PR"/>
        </w:rPr>
      </w:pPr>
      <w:r>
        <w:rPr>
          <w:rFonts w:ascii="Arial" w:hAnsi="Arial" w:cs="Arial"/>
          <w:bCs/>
          <w:sz w:val="24"/>
          <w:lang w:val="es-PR"/>
        </w:rPr>
        <w:t>No existe ningún</w:t>
      </w:r>
      <w:r w:rsidRPr="00CB137A">
        <w:rPr>
          <w:rFonts w:ascii="Arial" w:hAnsi="Arial" w:cs="Arial"/>
          <w:bCs/>
          <w:sz w:val="24"/>
          <w:lang w:val="es-PR"/>
        </w:rPr>
        <w:t xml:space="preserve"> otro recurso sobre el mismo caso que esté pendiente ante el Tribunal de Apelaciones o ante </w:t>
      </w:r>
      <w:r w:rsidR="00207793">
        <w:rPr>
          <w:rFonts w:ascii="Arial" w:hAnsi="Arial" w:cs="Arial"/>
          <w:bCs/>
          <w:sz w:val="24"/>
          <w:lang w:val="es-PR"/>
        </w:rPr>
        <w:t>este</w:t>
      </w:r>
      <w:r w:rsidRPr="00CB137A">
        <w:rPr>
          <w:rFonts w:ascii="Arial" w:hAnsi="Arial" w:cs="Arial"/>
          <w:bCs/>
          <w:sz w:val="24"/>
          <w:lang w:val="es-PR"/>
        </w:rPr>
        <w:t xml:space="preserve"> Tribunal Supremo a la fecha de la presentación.</w:t>
      </w:r>
    </w:p>
    <w:p w:rsidR="00CB137A" w:rsidRPr="00C72922" w:rsidRDefault="00C72922" w:rsidP="000C5254">
      <w:pPr>
        <w:pStyle w:val="BodyText"/>
        <w:numPr>
          <w:ilvl w:val="0"/>
          <w:numId w:val="16"/>
        </w:numPr>
        <w:ind w:left="360"/>
        <w:jc w:val="both"/>
        <w:rPr>
          <w:rFonts w:ascii="Arial" w:hAnsi="Arial" w:cs="Arial"/>
          <w:b/>
          <w:bCs/>
          <w:sz w:val="24"/>
        </w:rPr>
      </w:pPr>
      <w:r w:rsidRPr="00CB137A">
        <w:rPr>
          <w:rFonts w:ascii="Arial" w:hAnsi="Arial" w:cs="Arial"/>
          <w:b/>
          <w:bCs/>
          <w:sz w:val="24"/>
          <w:lang w:val="es-PR"/>
        </w:rPr>
        <w:t xml:space="preserve">REFERENCIA A LA </w:t>
      </w:r>
      <w:r>
        <w:rPr>
          <w:rFonts w:ascii="Arial" w:hAnsi="Arial" w:cs="Arial"/>
          <w:b/>
          <w:bCs/>
          <w:sz w:val="24"/>
          <w:lang w:val="es-PR"/>
        </w:rPr>
        <w:t xml:space="preserve">RESOLUCIÓN </w:t>
      </w:r>
      <w:r w:rsidRPr="00CB137A">
        <w:rPr>
          <w:rFonts w:ascii="Arial" w:hAnsi="Arial" w:cs="Arial"/>
          <w:b/>
          <w:bCs/>
          <w:sz w:val="24"/>
          <w:lang w:val="es-PR"/>
        </w:rPr>
        <w:t>DICTADA POR LA AGENCIA ADMINISTRATIVA</w:t>
      </w:r>
    </w:p>
    <w:p w:rsidR="00207793" w:rsidRDefault="00C72922" w:rsidP="00C72922">
      <w:pPr>
        <w:pStyle w:val="BodyText"/>
        <w:ind w:firstLine="360"/>
        <w:jc w:val="both"/>
        <w:rPr>
          <w:rFonts w:ascii="Arial" w:hAnsi="Arial" w:cs="Arial"/>
          <w:bCs/>
          <w:sz w:val="24"/>
          <w:lang w:val="es-PR"/>
        </w:rPr>
      </w:pPr>
      <w:r>
        <w:rPr>
          <w:rFonts w:ascii="Arial" w:hAnsi="Arial" w:cs="Arial"/>
          <w:bCs/>
          <w:sz w:val="24"/>
          <w:lang w:val="es-PR"/>
        </w:rPr>
        <w:t>La Resolución de la que se solicitó la revisión al Honorable Tribunal de Apelaciones fue la</w:t>
      </w:r>
      <w:r w:rsidR="00207793">
        <w:rPr>
          <w:rFonts w:ascii="Arial" w:hAnsi="Arial" w:cs="Arial"/>
          <w:bCs/>
          <w:sz w:val="24"/>
          <w:lang w:val="es-PR"/>
        </w:rPr>
        <w:t xml:space="preserve"> </w:t>
      </w:r>
      <w:r>
        <w:rPr>
          <w:rFonts w:ascii="Arial" w:hAnsi="Arial" w:cs="Arial"/>
          <w:bCs/>
          <w:sz w:val="24"/>
          <w:lang w:val="es-PR"/>
        </w:rPr>
        <w:t xml:space="preserve"> </w:t>
      </w:r>
      <w:r w:rsidR="00207793" w:rsidRPr="00207793">
        <w:rPr>
          <w:rFonts w:ascii="Arial" w:hAnsi="Arial" w:cs="Arial"/>
          <w:bCs/>
          <w:sz w:val="24"/>
          <w:lang w:val="es-PR"/>
        </w:rPr>
        <w:t xml:space="preserve">la </w:t>
      </w:r>
      <w:r w:rsidR="00207793" w:rsidRPr="00207793">
        <w:rPr>
          <w:rFonts w:ascii="Arial" w:hAnsi="Arial" w:cs="Arial"/>
          <w:bCs/>
          <w:i/>
          <w:iCs/>
          <w:sz w:val="24"/>
          <w:lang w:val="es-PR"/>
        </w:rPr>
        <w:t>Notificación No Acogiendo Solicitud de Revisión Administrativa</w:t>
      </w:r>
      <w:r w:rsidR="00207793" w:rsidRPr="00207793">
        <w:rPr>
          <w:rFonts w:ascii="Arial" w:hAnsi="Arial" w:cs="Arial"/>
          <w:bCs/>
          <w:iCs/>
          <w:sz w:val="24"/>
          <w:lang w:val="es-PR"/>
        </w:rPr>
        <w:t xml:space="preserve">, de la DRA-OGPe en el recurso de </w:t>
      </w:r>
      <w:r w:rsidR="00207793">
        <w:rPr>
          <w:rFonts w:ascii="Arial" w:hAnsi="Arial" w:cs="Arial"/>
          <w:bCs/>
          <w:iCs/>
          <w:sz w:val="24"/>
          <w:lang w:val="es-PR"/>
        </w:rPr>
        <w:t>revisión administrativa Torres Trinidad y Otros v Oficina de Gerencia de Permisos y QMC Telecom, Núm. 2022-444154-SDR-009474</w:t>
      </w:r>
      <w:r w:rsidR="00207793" w:rsidRPr="00207793">
        <w:rPr>
          <w:rFonts w:ascii="Arial" w:hAnsi="Arial" w:cs="Arial"/>
          <w:bCs/>
          <w:iCs/>
          <w:sz w:val="24"/>
          <w:lang w:val="es-PR"/>
        </w:rPr>
        <w:t>,</w:t>
      </w:r>
      <w:r w:rsidR="00207793">
        <w:rPr>
          <w:rFonts w:ascii="Arial" w:hAnsi="Arial" w:cs="Arial"/>
          <w:bCs/>
          <w:iCs/>
          <w:sz w:val="24"/>
          <w:lang w:val="es-PR"/>
        </w:rPr>
        <w:t xml:space="preserve"> emitida el día</w:t>
      </w:r>
      <w:r w:rsidR="00207793" w:rsidRPr="00207793">
        <w:rPr>
          <w:rFonts w:ascii="Arial" w:hAnsi="Arial" w:cs="Arial"/>
          <w:bCs/>
          <w:iCs/>
          <w:sz w:val="24"/>
          <w:lang w:val="es-PR"/>
        </w:rPr>
        <w:t xml:space="preserve"> 6 de julio de 2022</w:t>
      </w:r>
      <w:r w:rsidR="00207793">
        <w:rPr>
          <w:rFonts w:ascii="Arial" w:hAnsi="Arial" w:cs="Arial"/>
          <w:bCs/>
          <w:iCs/>
          <w:sz w:val="24"/>
          <w:lang w:val="es-PR"/>
        </w:rPr>
        <w:t xml:space="preserve">, notificado su archivo en autos el mismo día. Como ya expresamos, la DRA-OGPe fundamentó su decisión en que </w:t>
      </w:r>
      <w:r w:rsidR="00207793">
        <w:rPr>
          <w:rFonts w:ascii="Arial" w:hAnsi="Arial" w:cs="Arial"/>
          <w:bCs/>
          <w:sz w:val="24"/>
          <w:lang w:val="es-PR"/>
        </w:rPr>
        <w:t xml:space="preserve">“[l]a revisión administrativa fue presentada fuera del término jurisdiccional de veinte (20) días establecido.” </w:t>
      </w:r>
      <w:r w:rsidR="00207793">
        <w:rPr>
          <w:rStyle w:val="FootnoteReference"/>
          <w:rFonts w:ascii="Arial" w:hAnsi="Arial" w:cs="Arial"/>
          <w:bCs/>
          <w:sz w:val="24"/>
          <w:lang w:val="es-PR"/>
        </w:rPr>
        <w:footnoteReference w:id="17"/>
      </w:r>
    </w:p>
    <w:p w:rsidR="00C72922" w:rsidRPr="000C5254" w:rsidRDefault="00C72922" w:rsidP="000C5254">
      <w:pPr>
        <w:pStyle w:val="BodyText"/>
        <w:numPr>
          <w:ilvl w:val="0"/>
          <w:numId w:val="16"/>
        </w:numPr>
        <w:ind w:left="360"/>
        <w:jc w:val="both"/>
        <w:rPr>
          <w:rFonts w:ascii="Arial" w:hAnsi="Arial" w:cs="Arial"/>
          <w:b/>
          <w:bCs/>
          <w:sz w:val="24"/>
        </w:rPr>
      </w:pPr>
      <w:r>
        <w:rPr>
          <w:rFonts w:ascii="Arial" w:hAnsi="Arial" w:cs="Arial"/>
          <w:b/>
          <w:bCs/>
          <w:sz w:val="24"/>
          <w:lang w:val="es-PR"/>
        </w:rPr>
        <w:t>R</w:t>
      </w:r>
      <w:r w:rsidRPr="00C72922">
        <w:rPr>
          <w:rFonts w:ascii="Arial" w:hAnsi="Arial" w:cs="Arial"/>
          <w:b/>
          <w:bCs/>
          <w:sz w:val="24"/>
          <w:lang w:val="es-PR"/>
        </w:rPr>
        <w:t>ELACIÓN FIEL Y CONCISA DE LOS HECHOS PROCESALES Y MATERIALES</w:t>
      </w:r>
    </w:p>
    <w:p w:rsidR="008C64A2" w:rsidRDefault="00EF345C" w:rsidP="00D625D0">
      <w:pPr>
        <w:pStyle w:val="BodyText"/>
        <w:numPr>
          <w:ilvl w:val="0"/>
          <w:numId w:val="11"/>
        </w:numPr>
        <w:ind w:left="360"/>
        <w:jc w:val="both"/>
        <w:rPr>
          <w:rFonts w:ascii="Arial" w:hAnsi="Arial" w:cs="Arial"/>
          <w:bCs/>
          <w:sz w:val="24"/>
        </w:rPr>
      </w:pPr>
      <w:r>
        <w:rPr>
          <w:rFonts w:ascii="Arial" w:hAnsi="Arial" w:cs="Arial"/>
          <w:bCs/>
          <w:sz w:val="24"/>
        </w:rPr>
        <w:t>Por la urgencia de la atención a este recurso</w:t>
      </w:r>
      <w:r w:rsidR="00D40DBB">
        <w:rPr>
          <w:rFonts w:ascii="Arial" w:hAnsi="Arial" w:cs="Arial"/>
          <w:bCs/>
          <w:sz w:val="24"/>
        </w:rPr>
        <w:t xml:space="preserve"> (y </w:t>
      </w:r>
      <w:r w:rsidR="00B31F6D">
        <w:rPr>
          <w:rFonts w:ascii="Arial" w:hAnsi="Arial" w:cs="Arial"/>
          <w:bCs/>
          <w:sz w:val="24"/>
        </w:rPr>
        <w:t>a</w:t>
      </w:r>
      <w:r w:rsidR="00D40DBB">
        <w:rPr>
          <w:rFonts w:ascii="Arial" w:hAnsi="Arial" w:cs="Arial"/>
          <w:bCs/>
          <w:sz w:val="24"/>
        </w:rPr>
        <w:t xml:space="preserve"> la solicitud de auxilio que presentamos junto al mismo)</w:t>
      </w:r>
      <w:r>
        <w:rPr>
          <w:rFonts w:ascii="Arial" w:hAnsi="Arial" w:cs="Arial"/>
          <w:bCs/>
          <w:sz w:val="24"/>
        </w:rPr>
        <w:t>, y para ser concisos en los hechos medulares</w:t>
      </w:r>
      <w:r w:rsidR="00D40DBB">
        <w:rPr>
          <w:rFonts w:ascii="Arial" w:hAnsi="Arial" w:cs="Arial"/>
          <w:bCs/>
          <w:sz w:val="24"/>
        </w:rPr>
        <w:t xml:space="preserve"> (con la esperanza de que se nos permita presentar un alegato </w:t>
      </w:r>
      <w:r w:rsidR="00F73803">
        <w:rPr>
          <w:rFonts w:ascii="Arial" w:hAnsi="Arial" w:cs="Arial"/>
          <w:bCs/>
          <w:sz w:val="24"/>
        </w:rPr>
        <w:t>con</w:t>
      </w:r>
      <w:r w:rsidR="00D40DBB">
        <w:rPr>
          <w:rFonts w:ascii="Arial" w:hAnsi="Arial" w:cs="Arial"/>
          <w:bCs/>
          <w:sz w:val="24"/>
        </w:rPr>
        <w:t xml:space="preserve"> una narración más completa), resaltamos los hechos materiales elementales a los señalamientos de error de este escrito.</w:t>
      </w:r>
    </w:p>
    <w:p w:rsidR="00A264CB" w:rsidRPr="00E01DE9" w:rsidRDefault="00A264CB" w:rsidP="00A264CB">
      <w:pPr>
        <w:pStyle w:val="BodyText"/>
        <w:numPr>
          <w:ilvl w:val="0"/>
          <w:numId w:val="11"/>
        </w:numPr>
        <w:ind w:left="360"/>
        <w:jc w:val="both"/>
        <w:rPr>
          <w:rFonts w:ascii="Arial" w:hAnsi="Arial" w:cs="Arial"/>
          <w:bCs/>
          <w:sz w:val="24"/>
          <w:lang w:val="es-PR"/>
        </w:rPr>
      </w:pPr>
      <w:r>
        <w:rPr>
          <w:rFonts w:ascii="Arial" w:hAnsi="Arial" w:cs="Arial"/>
          <w:bCs/>
          <w:sz w:val="24"/>
        </w:rPr>
        <w:t xml:space="preserve">Según descrito en el </w:t>
      </w:r>
      <w:r>
        <w:rPr>
          <w:rFonts w:ascii="Arial" w:hAnsi="Arial" w:cs="Arial"/>
          <w:bCs/>
          <w:i/>
          <w:sz w:val="24"/>
        </w:rPr>
        <w:t xml:space="preserve">Memorial Explicativo </w:t>
      </w:r>
      <w:r>
        <w:rPr>
          <w:rFonts w:ascii="Arial" w:hAnsi="Arial" w:cs="Arial"/>
          <w:bCs/>
          <w:sz w:val="24"/>
        </w:rPr>
        <w:t>del proyecto de QMC, este consta de “</w:t>
      </w:r>
      <w:r w:rsidRPr="00A264CB">
        <w:rPr>
          <w:rFonts w:ascii="Arial" w:hAnsi="Arial" w:cs="Arial"/>
          <w:bCs/>
          <w:sz w:val="24"/>
          <w:lang w:val="es-PR"/>
        </w:rPr>
        <w:t xml:space="preserve">una torre auto sostenida de 250 pies de altura, las antenas de los clientes de servicio celular, losas de hormigón </w:t>
      </w:r>
      <w:r w:rsidRPr="00E01DE9">
        <w:rPr>
          <w:rFonts w:ascii="Arial" w:hAnsi="Arial" w:cs="Arial"/>
          <w:bCs/>
          <w:sz w:val="24"/>
          <w:lang w:val="es-PR"/>
        </w:rPr>
        <w:t>sobre el terreno en el área arrendada para la instalación de equipos de telecomunicaciones de uso exterior, las facilidades de energía eléctrica y la verja de perímetro que conforman las facilidades de telecomunicaciones.”</w:t>
      </w:r>
      <w:r w:rsidRPr="00E01DE9">
        <w:rPr>
          <w:rStyle w:val="FootnoteReference"/>
          <w:rFonts w:ascii="Arial" w:hAnsi="Arial" w:cs="Arial"/>
          <w:bCs/>
          <w:sz w:val="24"/>
          <w:lang w:val="es-PR"/>
        </w:rPr>
        <w:footnoteReference w:id="18"/>
      </w:r>
    </w:p>
    <w:p w:rsidR="00A264CB" w:rsidRDefault="00E01DE9" w:rsidP="00A264CB">
      <w:pPr>
        <w:pStyle w:val="BodyText"/>
        <w:numPr>
          <w:ilvl w:val="0"/>
          <w:numId w:val="11"/>
        </w:numPr>
        <w:ind w:left="360"/>
        <w:jc w:val="both"/>
        <w:rPr>
          <w:rFonts w:ascii="Arial" w:hAnsi="Arial" w:cs="Arial"/>
          <w:bCs/>
          <w:sz w:val="24"/>
          <w:lang w:val="es-PR"/>
        </w:rPr>
      </w:pPr>
      <w:r>
        <w:rPr>
          <w:rFonts w:ascii="Arial" w:hAnsi="Arial" w:cs="Arial"/>
          <w:bCs/>
          <w:sz w:val="24"/>
          <w:lang w:val="es-PR"/>
        </w:rPr>
        <w:t>C</w:t>
      </w:r>
      <w:r w:rsidRPr="00E01DE9">
        <w:rPr>
          <w:rFonts w:ascii="Arial" w:hAnsi="Arial" w:cs="Arial"/>
          <w:bCs/>
          <w:sz w:val="24"/>
          <w:lang w:val="es-PR"/>
        </w:rPr>
        <w:t>omo se desprende del Plan de Uso de Terrenos para Ciales, la finca en cuestión está en distrito de clasificación SREP-A (Suelo Rústico Especialmente Protegido Agrícola)</w:t>
      </w:r>
      <w:r w:rsidR="00175EE0">
        <w:rPr>
          <w:rStyle w:val="FootnoteReference"/>
          <w:rFonts w:ascii="Arial" w:hAnsi="Arial" w:cs="Arial"/>
          <w:bCs/>
          <w:sz w:val="24"/>
          <w:lang w:val="es-PR"/>
        </w:rPr>
        <w:footnoteReference w:id="19"/>
      </w:r>
      <w:r w:rsidRPr="00E01DE9">
        <w:rPr>
          <w:rFonts w:ascii="Arial" w:hAnsi="Arial" w:cs="Arial"/>
          <w:bCs/>
          <w:sz w:val="24"/>
          <w:lang w:val="es-PR"/>
        </w:rPr>
        <w:t xml:space="preserve"> para el cual se establecen los parámetros de diseño de un distrito de califica</w:t>
      </w:r>
      <w:r>
        <w:rPr>
          <w:rFonts w:ascii="Arial" w:hAnsi="Arial" w:cs="Arial"/>
          <w:bCs/>
          <w:sz w:val="24"/>
          <w:lang w:val="es-PR"/>
        </w:rPr>
        <w:t>ción A-P (Agrícola Productivo)</w:t>
      </w:r>
      <w:r w:rsidR="00A855AC">
        <w:rPr>
          <w:rStyle w:val="FootnoteReference"/>
          <w:rFonts w:ascii="Arial" w:hAnsi="Arial" w:cs="Arial"/>
          <w:bCs/>
          <w:sz w:val="24"/>
          <w:lang w:val="es-PR"/>
        </w:rPr>
        <w:footnoteReference w:id="20"/>
      </w:r>
      <w:r>
        <w:rPr>
          <w:rFonts w:ascii="Arial" w:hAnsi="Arial" w:cs="Arial"/>
          <w:bCs/>
          <w:sz w:val="24"/>
          <w:lang w:val="es-PR"/>
        </w:rPr>
        <w:t>.</w:t>
      </w:r>
      <w:r>
        <w:rPr>
          <w:rStyle w:val="FootnoteReference"/>
          <w:rFonts w:ascii="Arial" w:hAnsi="Arial" w:cs="Arial"/>
          <w:bCs/>
          <w:sz w:val="24"/>
          <w:lang w:val="es-PR"/>
        </w:rPr>
        <w:footnoteReference w:id="21"/>
      </w:r>
    </w:p>
    <w:p w:rsidR="00A855AC" w:rsidRDefault="00175EE0" w:rsidP="00A264CB">
      <w:pPr>
        <w:pStyle w:val="BodyText"/>
        <w:numPr>
          <w:ilvl w:val="0"/>
          <w:numId w:val="11"/>
        </w:numPr>
        <w:ind w:left="360"/>
        <w:jc w:val="both"/>
        <w:rPr>
          <w:rFonts w:ascii="Arial" w:hAnsi="Arial" w:cs="Arial"/>
          <w:bCs/>
          <w:sz w:val="24"/>
          <w:lang w:val="es-PR"/>
        </w:rPr>
      </w:pPr>
      <w:r w:rsidRPr="00175EE0">
        <w:rPr>
          <w:rFonts w:ascii="Arial" w:hAnsi="Arial" w:cs="Arial"/>
          <w:bCs/>
          <w:sz w:val="24"/>
          <w:lang w:val="es-PR"/>
        </w:rPr>
        <w:t xml:space="preserve">Esa finca, y los polígonos específicos para el centroide de la torre y los postes de las facilidades de energía eléctrica mencionadas en el </w:t>
      </w:r>
      <w:r w:rsidRPr="00175EE0">
        <w:rPr>
          <w:rFonts w:ascii="Arial" w:hAnsi="Arial" w:cs="Arial"/>
          <w:bCs/>
          <w:i/>
          <w:sz w:val="24"/>
          <w:lang w:val="es-PR"/>
        </w:rPr>
        <w:t>Memorial Explicativo</w:t>
      </w:r>
      <w:r w:rsidRPr="00175EE0">
        <w:rPr>
          <w:rFonts w:ascii="Arial" w:hAnsi="Arial" w:cs="Arial"/>
          <w:bCs/>
          <w:sz w:val="24"/>
          <w:lang w:val="es-PR"/>
        </w:rPr>
        <w:t xml:space="preserve">, </w:t>
      </w:r>
      <w:r w:rsidRPr="00175EE0">
        <w:rPr>
          <w:rFonts w:ascii="Arial" w:hAnsi="Arial" w:cs="Arial"/>
          <w:bCs/>
          <w:sz w:val="24"/>
          <w:u w:val="single"/>
          <w:lang w:val="es-PR"/>
        </w:rPr>
        <w:t>es clasificada como susceptibles a deslizamientos por el Servicio Geológico de los Estados Unidos</w:t>
      </w:r>
      <w:r w:rsidRPr="00175EE0">
        <w:rPr>
          <w:rFonts w:ascii="Arial" w:hAnsi="Arial" w:cs="Arial"/>
          <w:bCs/>
          <w:sz w:val="24"/>
          <w:lang w:val="es-PR"/>
        </w:rPr>
        <w:t xml:space="preserve"> del Departamento del Interior (USGS por sus siglas en inglés)</w:t>
      </w:r>
      <w:r w:rsidRPr="00175EE0">
        <w:rPr>
          <w:rFonts w:ascii="Arial" w:hAnsi="Arial" w:cs="Arial"/>
          <w:bCs/>
          <w:sz w:val="24"/>
          <w:vertAlign w:val="superscript"/>
          <w:lang w:val="es-PR"/>
        </w:rPr>
        <w:footnoteReference w:id="22"/>
      </w:r>
      <w:r>
        <w:rPr>
          <w:rFonts w:ascii="Arial" w:hAnsi="Arial" w:cs="Arial"/>
          <w:bCs/>
          <w:sz w:val="24"/>
          <w:lang w:val="es-PR"/>
        </w:rPr>
        <w:t>.</w:t>
      </w:r>
    </w:p>
    <w:p w:rsidR="00CC61D8" w:rsidRPr="00CC61D8" w:rsidRDefault="00CC61D8" w:rsidP="00A264CB">
      <w:pPr>
        <w:pStyle w:val="BodyText"/>
        <w:numPr>
          <w:ilvl w:val="0"/>
          <w:numId w:val="11"/>
        </w:numPr>
        <w:ind w:left="360"/>
        <w:jc w:val="both"/>
        <w:rPr>
          <w:rFonts w:ascii="Arial" w:hAnsi="Arial" w:cs="Arial"/>
          <w:bCs/>
          <w:sz w:val="24"/>
          <w:lang w:val="es-PR"/>
        </w:rPr>
      </w:pPr>
      <w:r>
        <w:rPr>
          <w:rFonts w:ascii="Arial" w:hAnsi="Arial" w:cs="Arial"/>
          <w:bCs/>
          <w:iCs/>
          <w:sz w:val="24"/>
          <w:lang w:val="es-PR"/>
        </w:rPr>
        <w:t>L</w:t>
      </w:r>
      <w:r w:rsidRPr="00E20F90">
        <w:rPr>
          <w:rFonts w:ascii="Arial" w:hAnsi="Arial" w:cs="Arial"/>
          <w:bCs/>
          <w:iCs/>
          <w:sz w:val="24"/>
          <w:lang w:val="es-PR"/>
        </w:rPr>
        <w:t xml:space="preserve">os planos civiles </w:t>
      </w:r>
      <w:r>
        <w:rPr>
          <w:rFonts w:ascii="Arial" w:hAnsi="Arial" w:cs="Arial"/>
          <w:bCs/>
          <w:iCs/>
          <w:sz w:val="24"/>
          <w:lang w:val="es-PR"/>
        </w:rPr>
        <w:t>que obran en el expediente administrativo</w:t>
      </w:r>
      <w:r w:rsidRPr="00E20F90">
        <w:rPr>
          <w:rFonts w:ascii="Arial" w:hAnsi="Arial" w:cs="Arial"/>
          <w:bCs/>
          <w:iCs/>
          <w:sz w:val="24"/>
          <w:lang w:val="es-PR"/>
        </w:rPr>
        <w:t xml:space="preserve"> </w:t>
      </w:r>
      <w:r>
        <w:rPr>
          <w:rFonts w:ascii="Arial" w:hAnsi="Arial" w:cs="Arial"/>
          <w:bCs/>
          <w:iCs/>
          <w:sz w:val="24"/>
          <w:lang w:val="es-PR"/>
        </w:rPr>
        <w:t xml:space="preserve">prueban que </w:t>
      </w:r>
      <w:r w:rsidRPr="00E20F90">
        <w:rPr>
          <w:rFonts w:ascii="Arial" w:hAnsi="Arial" w:cs="Arial"/>
          <w:bCs/>
          <w:iCs/>
          <w:sz w:val="24"/>
          <w:lang w:val="es-PR"/>
        </w:rPr>
        <w:t>la base de la estructura de torre va a tener una profundidad de cuarenta pies con seis décimas de pie (40.6’) de perforación y</w:t>
      </w:r>
      <w:r>
        <w:rPr>
          <w:rFonts w:ascii="Arial" w:hAnsi="Arial" w:cs="Arial"/>
          <w:bCs/>
          <w:iCs/>
          <w:sz w:val="24"/>
          <w:lang w:val="es-PR"/>
        </w:rPr>
        <w:t xml:space="preserve"> excavación en la aludida finca</w:t>
      </w:r>
      <w:r>
        <w:rPr>
          <w:rStyle w:val="FootnoteReference"/>
          <w:rFonts w:ascii="Arial" w:hAnsi="Arial" w:cs="Arial"/>
          <w:bCs/>
          <w:iCs/>
          <w:sz w:val="24"/>
          <w:lang w:val="es-PR"/>
        </w:rPr>
        <w:footnoteReference w:id="23"/>
      </w:r>
      <w:r>
        <w:rPr>
          <w:rFonts w:ascii="Arial" w:hAnsi="Arial" w:cs="Arial"/>
          <w:bCs/>
          <w:iCs/>
          <w:sz w:val="24"/>
          <w:lang w:val="es-PR"/>
        </w:rPr>
        <w:t>.</w:t>
      </w:r>
      <w:r w:rsidRPr="00E20F90">
        <w:rPr>
          <w:rFonts w:ascii="Arial" w:hAnsi="Arial" w:cs="Arial"/>
          <w:b/>
          <w:bCs/>
          <w:iCs/>
          <w:sz w:val="24"/>
          <w:lang w:val="es-PR"/>
        </w:rPr>
        <w:t xml:space="preserve"> </w:t>
      </w:r>
      <w:r w:rsidRPr="00E20F90">
        <w:rPr>
          <w:rFonts w:ascii="Arial" w:hAnsi="Arial" w:cs="Arial"/>
          <w:bCs/>
          <w:iCs/>
          <w:sz w:val="24"/>
          <w:lang w:val="es-PR"/>
        </w:rPr>
        <w:t>Adicional, para el sistema eléctrico que va a suplir la infraestr</w:t>
      </w:r>
      <w:r>
        <w:rPr>
          <w:rFonts w:ascii="Arial" w:hAnsi="Arial" w:cs="Arial"/>
          <w:bCs/>
          <w:iCs/>
          <w:sz w:val="24"/>
          <w:lang w:val="es-PR"/>
        </w:rPr>
        <w:t>uctura de telecomunicaciones,</w:t>
      </w:r>
      <w:r w:rsidRPr="00E20F90">
        <w:rPr>
          <w:rFonts w:ascii="Arial" w:hAnsi="Arial" w:cs="Arial"/>
          <w:bCs/>
          <w:iCs/>
          <w:sz w:val="24"/>
          <w:lang w:val="es-PR"/>
        </w:rPr>
        <w:t xml:space="preserve"> AEE </w:t>
      </w:r>
      <w:r>
        <w:rPr>
          <w:rFonts w:ascii="Arial" w:hAnsi="Arial" w:cs="Arial"/>
          <w:bCs/>
          <w:iCs/>
          <w:sz w:val="24"/>
          <w:lang w:val="es-PR"/>
        </w:rPr>
        <w:t>endosó</w:t>
      </w:r>
      <w:r w:rsidRPr="00E20F90">
        <w:rPr>
          <w:rFonts w:ascii="Arial" w:hAnsi="Arial" w:cs="Arial"/>
          <w:bCs/>
          <w:iCs/>
          <w:sz w:val="24"/>
          <w:lang w:val="es-PR"/>
        </w:rPr>
        <w:t xml:space="preserve"> un plano que especifica el levantamiento de cuatro (4) postes para tendido eléctrico de cuarenta y cinco pies</w:t>
      </w:r>
      <w:r>
        <w:rPr>
          <w:rFonts w:ascii="Arial" w:hAnsi="Arial" w:cs="Arial"/>
          <w:bCs/>
          <w:iCs/>
          <w:sz w:val="24"/>
          <w:lang w:val="es-PR"/>
        </w:rPr>
        <w:t xml:space="preserve"> (45’)</w:t>
      </w:r>
      <w:r w:rsidRPr="00E20F90">
        <w:rPr>
          <w:rFonts w:ascii="Arial" w:hAnsi="Arial" w:cs="Arial"/>
          <w:bCs/>
          <w:iCs/>
          <w:sz w:val="24"/>
          <w:lang w:val="es-PR"/>
        </w:rPr>
        <w:t>, cuyos cimientos deben perforarse a nueve pie</w:t>
      </w:r>
      <w:r>
        <w:rPr>
          <w:rFonts w:ascii="Arial" w:hAnsi="Arial" w:cs="Arial"/>
          <w:bCs/>
          <w:iCs/>
          <w:sz w:val="24"/>
          <w:lang w:val="es-PR"/>
        </w:rPr>
        <w:t>s (9’) de profundidad, cada uno</w:t>
      </w:r>
      <w:r>
        <w:rPr>
          <w:rStyle w:val="FootnoteReference"/>
          <w:rFonts w:ascii="Arial" w:hAnsi="Arial" w:cs="Arial"/>
          <w:bCs/>
          <w:iCs/>
          <w:sz w:val="24"/>
          <w:lang w:val="es-PR"/>
        </w:rPr>
        <w:footnoteReference w:id="24"/>
      </w:r>
      <w:r>
        <w:rPr>
          <w:rFonts w:ascii="Arial" w:hAnsi="Arial" w:cs="Arial"/>
          <w:bCs/>
          <w:iCs/>
          <w:sz w:val="24"/>
          <w:lang w:val="es-PR"/>
        </w:rPr>
        <w:t>.</w:t>
      </w:r>
    </w:p>
    <w:p w:rsidR="00CC61D8" w:rsidRPr="00CC61D8" w:rsidRDefault="00CC61D8" w:rsidP="00A264CB">
      <w:pPr>
        <w:pStyle w:val="BodyText"/>
        <w:numPr>
          <w:ilvl w:val="0"/>
          <w:numId w:val="11"/>
        </w:numPr>
        <w:ind w:left="360"/>
        <w:jc w:val="both"/>
        <w:rPr>
          <w:rFonts w:ascii="Arial" w:hAnsi="Arial" w:cs="Arial"/>
          <w:bCs/>
          <w:sz w:val="24"/>
          <w:lang w:val="es-PR"/>
        </w:rPr>
      </w:pPr>
      <w:r w:rsidRPr="00CC61D8">
        <w:rPr>
          <w:rFonts w:ascii="Arial" w:hAnsi="Arial" w:cs="Arial"/>
          <w:bCs/>
          <w:iCs/>
          <w:sz w:val="24"/>
          <w:u w:val="single"/>
          <w:lang w:val="es-PR"/>
        </w:rPr>
        <w:t>Estos componentes de construcción son reconocidos como “actividades humanas que contribuyen a la susceptibilidad de derrumbes</w:t>
      </w:r>
      <w:r w:rsidRPr="00CC61D8">
        <w:rPr>
          <w:rFonts w:ascii="Arial" w:hAnsi="Arial" w:cs="Arial"/>
          <w:bCs/>
          <w:iCs/>
          <w:sz w:val="24"/>
          <w:lang w:val="es-PR"/>
        </w:rPr>
        <w:t>”; tales como drenajes, peso añadido, excavación, zona de relleno, desforestación</w:t>
      </w:r>
      <w:r w:rsidRPr="00CC61D8">
        <w:rPr>
          <w:rFonts w:ascii="Arial" w:hAnsi="Arial" w:cs="Arial"/>
          <w:bCs/>
          <w:iCs/>
          <w:sz w:val="24"/>
          <w:vertAlign w:val="superscript"/>
          <w:lang w:val="es-PR"/>
        </w:rPr>
        <w:footnoteReference w:id="25"/>
      </w:r>
      <w:r w:rsidRPr="00CC61D8">
        <w:rPr>
          <w:rFonts w:ascii="Arial" w:hAnsi="Arial" w:cs="Arial"/>
          <w:bCs/>
          <w:iCs/>
          <w:sz w:val="24"/>
          <w:lang w:val="es-PR"/>
        </w:rPr>
        <w:t>.</w:t>
      </w:r>
    </w:p>
    <w:p w:rsidR="00CC61D8" w:rsidRDefault="00CC61D8" w:rsidP="00A264CB">
      <w:pPr>
        <w:pStyle w:val="BodyText"/>
        <w:numPr>
          <w:ilvl w:val="0"/>
          <w:numId w:val="11"/>
        </w:numPr>
        <w:ind w:left="360"/>
        <w:jc w:val="both"/>
        <w:rPr>
          <w:rFonts w:ascii="Arial" w:hAnsi="Arial" w:cs="Arial"/>
          <w:bCs/>
          <w:sz w:val="24"/>
          <w:lang w:val="es-PR"/>
        </w:rPr>
      </w:pPr>
      <w:r w:rsidRPr="00CC61D8">
        <w:rPr>
          <w:rFonts w:ascii="Arial" w:hAnsi="Arial" w:cs="Arial"/>
          <w:bCs/>
          <w:sz w:val="24"/>
          <w:lang w:val="es-PR"/>
        </w:rPr>
        <w:t xml:space="preserve">Los deslizamientos o derrumbes de tierra son un peligro geológico </w:t>
      </w:r>
      <w:r w:rsidRPr="00CC61D8">
        <w:rPr>
          <w:rFonts w:ascii="Arial" w:hAnsi="Arial" w:cs="Arial"/>
          <w:bCs/>
          <w:sz w:val="24"/>
          <w:u w:val="single"/>
          <w:lang w:val="es-PR"/>
        </w:rPr>
        <w:t>serio</w:t>
      </w:r>
      <w:r w:rsidRPr="00CC61D8">
        <w:rPr>
          <w:rFonts w:ascii="Arial" w:hAnsi="Arial" w:cs="Arial"/>
          <w:bCs/>
          <w:sz w:val="24"/>
          <w:lang w:val="es-PR"/>
        </w:rPr>
        <w:t xml:space="preserve"> en Estados Unidos según el United States Geological Survey (USGS)</w:t>
      </w:r>
      <w:r w:rsidRPr="00CC61D8">
        <w:rPr>
          <w:rFonts w:ascii="Arial" w:hAnsi="Arial" w:cs="Arial"/>
          <w:bCs/>
          <w:sz w:val="24"/>
          <w:vertAlign w:val="superscript"/>
          <w:lang w:val="es-PR"/>
        </w:rPr>
        <w:footnoteReference w:id="26"/>
      </w:r>
      <w:r w:rsidRPr="00CC61D8">
        <w:rPr>
          <w:rFonts w:ascii="Arial" w:hAnsi="Arial" w:cs="Arial"/>
          <w:bCs/>
          <w:sz w:val="24"/>
          <w:lang w:val="es-PR"/>
        </w:rPr>
        <w:t>.</w:t>
      </w:r>
    </w:p>
    <w:p w:rsidR="00CC61D8" w:rsidRDefault="00CC61D8" w:rsidP="00A264CB">
      <w:pPr>
        <w:pStyle w:val="BodyText"/>
        <w:numPr>
          <w:ilvl w:val="0"/>
          <w:numId w:val="11"/>
        </w:numPr>
        <w:ind w:left="360"/>
        <w:jc w:val="both"/>
        <w:rPr>
          <w:rFonts w:ascii="Arial" w:hAnsi="Arial" w:cs="Arial"/>
          <w:bCs/>
          <w:sz w:val="24"/>
          <w:lang w:val="es-PR"/>
        </w:rPr>
      </w:pPr>
      <w:r w:rsidRPr="00CC61D8">
        <w:rPr>
          <w:rFonts w:ascii="Arial" w:hAnsi="Arial" w:cs="Arial"/>
          <w:bCs/>
          <w:sz w:val="24"/>
          <w:lang w:val="es-PR"/>
        </w:rPr>
        <w:t>El USGS estima que en los Estados Unidos los deslizamientos o derrumbes de tierra causan perdidas por daños en exceso de mil millones de dólares ($1,000,000,000.00) y alrededor de veinticinco (25) a cincuenta (50) muertes cada año</w:t>
      </w:r>
      <w:r w:rsidRPr="00CC61D8">
        <w:rPr>
          <w:rFonts w:ascii="Arial" w:hAnsi="Arial" w:cs="Arial"/>
          <w:bCs/>
          <w:sz w:val="24"/>
          <w:vertAlign w:val="superscript"/>
          <w:lang w:val="es-PR"/>
        </w:rPr>
        <w:footnoteReference w:id="27"/>
      </w:r>
      <w:r w:rsidRPr="00CC61D8">
        <w:rPr>
          <w:rFonts w:ascii="Arial" w:hAnsi="Arial" w:cs="Arial"/>
          <w:bCs/>
          <w:sz w:val="24"/>
          <w:lang w:val="es-PR"/>
        </w:rPr>
        <w:t>.</w:t>
      </w:r>
    </w:p>
    <w:p w:rsidR="00CC61D8" w:rsidRPr="00E01DE9" w:rsidRDefault="00CC61D8" w:rsidP="00A264CB">
      <w:pPr>
        <w:pStyle w:val="BodyText"/>
        <w:numPr>
          <w:ilvl w:val="0"/>
          <w:numId w:val="11"/>
        </w:numPr>
        <w:ind w:left="360"/>
        <w:jc w:val="both"/>
        <w:rPr>
          <w:rFonts w:ascii="Arial" w:hAnsi="Arial" w:cs="Arial"/>
          <w:bCs/>
          <w:sz w:val="24"/>
          <w:lang w:val="es-PR"/>
        </w:rPr>
      </w:pPr>
      <w:r>
        <w:rPr>
          <w:rFonts w:ascii="Arial" w:hAnsi="Arial" w:cs="Arial"/>
          <w:bCs/>
          <w:sz w:val="24"/>
        </w:rPr>
        <w:t>Específicamente el Barrio Frontón Sabana y, en específico, en la carretera PR-146 a la altura de dicho barrio, tiene historial de deslizamientos</w:t>
      </w:r>
      <w:r>
        <w:rPr>
          <w:rStyle w:val="FootnoteReference"/>
          <w:rFonts w:ascii="Arial" w:hAnsi="Arial" w:cs="Arial"/>
          <w:bCs/>
          <w:sz w:val="24"/>
        </w:rPr>
        <w:footnoteReference w:id="28"/>
      </w:r>
      <w:r>
        <w:rPr>
          <w:rFonts w:ascii="Arial" w:hAnsi="Arial" w:cs="Arial"/>
          <w:bCs/>
          <w:sz w:val="24"/>
        </w:rPr>
        <w:t xml:space="preserve">, cosa que aterra a los RECURRENTES porque la construcción de QMC aumenta esa susceptibilidad en la finca de QMC y en las suyas, que son colindantes y/o </w:t>
      </w:r>
      <w:r w:rsidR="002876AA">
        <w:rPr>
          <w:rFonts w:ascii="Arial" w:hAnsi="Arial" w:cs="Arial"/>
          <w:bCs/>
          <w:sz w:val="24"/>
        </w:rPr>
        <w:t>quedan por debajo de ésta</w:t>
      </w:r>
      <w:r>
        <w:rPr>
          <w:rFonts w:ascii="Arial" w:hAnsi="Arial" w:cs="Arial"/>
          <w:bCs/>
          <w:sz w:val="24"/>
        </w:rPr>
        <w:t>.</w:t>
      </w:r>
    </w:p>
    <w:p w:rsidR="00854547" w:rsidRPr="00175EE0" w:rsidRDefault="00854547" w:rsidP="00E04297">
      <w:pPr>
        <w:pStyle w:val="BodyText"/>
        <w:numPr>
          <w:ilvl w:val="0"/>
          <w:numId w:val="11"/>
        </w:numPr>
        <w:ind w:left="360"/>
        <w:jc w:val="both"/>
        <w:rPr>
          <w:rFonts w:ascii="Arial" w:hAnsi="Arial" w:cs="Arial"/>
          <w:bCs/>
          <w:sz w:val="24"/>
        </w:rPr>
      </w:pPr>
      <w:r w:rsidRPr="00175EE0">
        <w:rPr>
          <w:rFonts w:ascii="Arial" w:hAnsi="Arial" w:cs="Arial"/>
          <w:bCs/>
          <w:sz w:val="24"/>
          <w:lang w:val="es-PR"/>
        </w:rPr>
        <w:t xml:space="preserve">La </w:t>
      </w:r>
      <w:r w:rsidRPr="00175EE0">
        <w:rPr>
          <w:rFonts w:ascii="Arial" w:hAnsi="Arial" w:cs="Arial"/>
          <w:bCs/>
          <w:i/>
          <w:sz w:val="24"/>
          <w:lang w:val="es-PR"/>
        </w:rPr>
        <w:t xml:space="preserve">DETERMINACIÓN DE CUMPLIMIENTO AMBIENTAL </w:t>
      </w:r>
      <w:r w:rsidRPr="00175EE0">
        <w:rPr>
          <w:rFonts w:ascii="Arial" w:hAnsi="Arial" w:cs="Arial"/>
          <w:bCs/>
          <w:sz w:val="24"/>
          <w:lang w:val="es-PR"/>
        </w:rPr>
        <w:t>del proyecto</w:t>
      </w:r>
      <w:r w:rsidR="002876AA">
        <w:rPr>
          <w:rFonts w:ascii="Arial" w:hAnsi="Arial" w:cs="Arial"/>
          <w:bCs/>
          <w:sz w:val="24"/>
          <w:lang w:val="es-PR"/>
        </w:rPr>
        <w:t xml:space="preserve"> de QMC</w:t>
      </w:r>
      <w:r w:rsidR="00175EE0" w:rsidRPr="00175EE0">
        <w:rPr>
          <w:rFonts w:ascii="Arial" w:hAnsi="Arial" w:cs="Arial"/>
          <w:bCs/>
          <w:sz w:val="24"/>
          <w:lang w:val="es-PR"/>
        </w:rPr>
        <w:t>, que solamente procede “[u]na vez se determine que la solicitud está completa</w:t>
      </w:r>
      <w:r w:rsidR="00175EE0">
        <w:rPr>
          <w:rFonts w:ascii="Arial" w:hAnsi="Arial" w:cs="Arial"/>
          <w:bCs/>
          <w:sz w:val="24"/>
          <w:lang w:val="es-PR"/>
        </w:rPr>
        <w:t>…</w:t>
      </w:r>
      <w:r w:rsidR="00477E9A">
        <w:rPr>
          <w:rFonts w:ascii="Arial" w:hAnsi="Arial" w:cs="Arial"/>
          <w:bCs/>
          <w:sz w:val="24"/>
          <w:lang w:val="es-PR"/>
        </w:rPr>
        <w:t xml:space="preserve"> [que]</w:t>
      </w:r>
      <w:r w:rsidR="00175EE0" w:rsidRPr="00175EE0">
        <w:rPr>
          <w:rFonts w:ascii="Arial" w:hAnsi="Arial" w:cs="Arial"/>
          <w:bCs/>
          <w:sz w:val="24"/>
          <w:lang w:val="es-PR"/>
        </w:rPr>
        <w:t xml:space="preserve"> será referida para la correspondiente evaluación</w:t>
      </w:r>
      <w:r w:rsidR="00175EE0">
        <w:rPr>
          <w:rFonts w:ascii="Arial" w:hAnsi="Arial" w:cs="Arial"/>
          <w:bCs/>
          <w:sz w:val="24"/>
          <w:lang w:val="es-PR"/>
        </w:rPr>
        <w:t xml:space="preserve">… </w:t>
      </w:r>
      <w:r w:rsidR="00175EE0" w:rsidRPr="00175EE0">
        <w:rPr>
          <w:rFonts w:ascii="Arial" w:hAnsi="Arial" w:cs="Arial"/>
          <w:bCs/>
          <w:sz w:val="24"/>
          <w:lang w:val="es-PR"/>
        </w:rPr>
        <w:t>del Director de la División de Evaluación de Cumplimiento Ambiental</w:t>
      </w:r>
      <w:r w:rsidR="00175EE0">
        <w:rPr>
          <w:rFonts w:ascii="Arial" w:hAnsi="Arial" w:cs="Arial"/>
          <w:bCs/>
          <w:sz w:val="24"/>
          <w:lang w:val="es-PR"/>
        </w:rPr>
        <w:t>”</w:t>
      </w:r>
      <w:r w:rsidR="00175EE0">
        <w:rPr>
          <w:rStyle w:val="FootnoteReference"/>
          <w:rFonts w:ascii="Arial" w:hAnsi="Arial" w:cs="Arial"/>
          <w:bCs/>
          <w:sz w:val="24"/>
          <w:lang w:val="es-PR"/>
        </w:rPr>
        <w:footnoteReference w:id="29"/>
      </w:r>
      <w:r w:rsidR="00175EE0">
        <w:rPr>
          <w:rFonts w:ascii="Arial" w:hAnsi="Arial" w:cs="Arial"/>
          <w:bCs/>
          <w:sz w:val="24"/>
          <w:lang w:val="es-PR"/>
        </w:rPr>
        <w:t>,</w:t>
      </w:r>
      <w:r w:rsidR="00175EE0" w:rsidRPr="00175EE0">
        <w:rPr>
          <w:rFonts w:ascii="Arial" w:hAnsi="Arial" w:cs="Arial"/>
          <w:bCs/>
          <w:sz w:val="24"/>
          <w:lang w:val="es-PR"/>
        </w:rPr>
        <w:t xml:space="preserve"> </w:t>
      </w:r>
      <w:r w:rsidRPr="00175EE0">
        <w:rPr>
          <w:rFonts w:ascii="Arial" w:hAnsi="Arial" w:cs="Arial"/>
          <w:bCs/>
          <w:sz w:val="24"/>
          <w:lang w:val="es-PR"/>
        </w:rPr>
        <w:t xml:space="preserve">se expidió por la División de Evaluación de Cumplimiento Ambiental el día </w:t>
      </w:r>
      <w:r w:rsidR="002876AA">
        <w:rPr>
          <w:rFonts w:ascii="Arial" w:hAnsi="Arial" w:cs="Arial"/>
          <w:bCs/>
          <w:sz w:val="24"/>
          <w:lang w:val="es-PR"/>
        </w:rPr>
        <w:t xml:space="preserve">6 </w:t>
      </w:r>
      <w:r w:rsidRPr="00175EE0">
        <w:rPr>
          <w:rFonts w:ascii="Arial" w:hAnsi="Arial" w:cs="Arial"/>
          <w:bCs/>
          <w:sz w:val="24"/>
          <w:lang w:val="es-PR"/>
        </w:rPr>
        <w:t xml:space="preserve">de </w:t>
      </w:r>
      <w:r w:rsidR="002876AA">
        <w:rPr>
          <w:rFonts w:ascii="Arial" w:hAnsi="Arial" w:cs="Arial"/>
          <w:bCs/>
          <w:sz w:val="24"/>
          <w:lang w:val="es-PR"/>
        </w:rPr>
        <w:t>abril de 2022.</w:t>
      </w:r>
      <w:r w:rsidRPr="00175EE0">
        <w:rPr>
          <w:rFonts w:ascii="Arial" w:hAnsi="Arial" w:cs="Arial"/>
          <w:bCs/>
          <w:sz w:val="24"/>
          <w:lang w:val="es-PR"/>
        </w:rPr>
        <w:t xml:space="preserve"> </w:t>
      </w:r>
      <w:r w:rsidRPr="00854547">
        <w:rPr>
          <w:rFonts w:ascii="Arial" w:hAnsi="Arial" w:cs="Arial"/>
          <w:bCs/>
          <w:sz w:val="24"/>
          <w:vertAlign w:val="superscript"/>
          <w:lang w:val="en-US"/>
        </w:rPr>
        <w:footnoteReference w:id="30"/>
      </w:r>
    </w:p>
    <w:p w:rsidR="00477E9A" w:rsidRPr="007E295D" w:rsidRDefault="007700A5" w:rsidP="007E295D">
      <w:pPr>
        <w:pStyle w:val="BodyText"/>
        <w:numPr>
          <w:ilvl w:val="0"/>
          <w:numId w:val="11"/>
        </w:numPr>
        <w:ind w:left="360"/>
        <w:jc w:val="both"/>
        <w:rPr>
          <w:rFonts w:ascii="Arial" w:hAnsi="Arial" w:cs="Arial"/>
          <w:bCs/>
          <w:sz w:val="24"/>
        </w:rPr>
      </w:pPr>
      <w:r>
        <w:rPr>
          <w:rFonts w:ascii="Arial" w:hAnsi="Arial" w:cs="Arial"/>
          <w:bCs/>
          <w:sz w:val="24"/>
        </w:rPr>
        <w:t>A</w:t>
      </w:r>
      <w:r w:rsidR="00854547">
        <w:rPr>
          <w:rFonts w:ascii="Arial" w:hAnsi="Arial" w:cs="Arial"/>
          <w:bCs/>
          <w:sz w:val="24"/>
        </w:rPr>
        <w:t>legadamente</w:t>
      </w:r>
      <w:r w:rsidR="00477E9A">
        <w:rPr>
          <w:rFonts w:ascii="Arial" w:hAnsi="Arial" w:cs="Arial"/>
          <w:bCs/>
          <w:sz w:val="24"/>
        </w:rPr>
        <w:t>, y contra el debido proceso estatuido y citado en el anterior acápite,</w:t>
      </w:r>
      <w:r w:rsidR="00854547">
        <w:rPr>
          <w:rFonts w:ascii="Arial" w:hAnsi="Arial" w:cs="Arial"/>
          <w:bCs/>
          <w:sz w:val="24"/>
        </w:rPr>
        <w:t xml:space="preserve"> </w:t>
      </w:r>
      <w:r w:rsidR="00854547" w:rsidRPr="00477E9A">
        <w:rPr>
          <w:rFonts w:ascii="Arial" w:hAnsi="Arial" w:cs="Arial"/>
          <w:bCs/>
          <w:sz w:val="24"/>
          <w:u w:val="single"/>
        </w:rPr>
        <w:t>QMC</w:t>
      </w:r>
      <w:r w:rsidRPr="00477E9A">
        <w:rPr>
          <w:rFonts w:ascii="Arial" w:hAnsi="Arial" w:cs="Arial"/>
          <w:bCs/>
          <w:sz w:val="24"/>
          <w:u w:val="single"/>
        </w:rPr>
        <w:t xml:space="preserve"> solicit</w:t>
      </w:r>
      <w:r w:rsidR="00854547" w:rsidRPr="00477E9A">
        <w:rPr>
          <w:rFonts w:ascii="Arial" w:hAnsi="Arial" w:cs="Arial"/>
          <w:bCs/>
          <w:sz w:val="24"/>
          <w:u w:val="single"/>
        </w:rPr>
        <w:t>ó</w:t>
      </w:r>
      <w:r w:rsidRPr="00477E9A">
        <w:rPr>
          <w:rFonts w:ascii="Arial" w:hAnsi="Arial" w:cs="Arial"/>
          <w:bCs/>
          <w:sz w:val="24"/>
          <w:u w:val="single"/>
        </w:rPr>
        <w:t xml:space="preserve"> </w:t>
      </w:r>
      <w:r w:rsidR="00854547" w:rsidRPr="00477E9A">
        <w:rPr>
          <w:rFonts w:ascii="Arial" w:hAnsi="Arial" w:cs="Arial"/>
          <w:bCs/>
          <w:sz w:val="24"/>
          <w:u w:val="single"/>
        </w:rPr>
        <w:t>el</w:t>
      </w:r>
      <w:r w:rsidRPr="00477E9A">
        <w:rPr>
          <w:rFonts w:ascii="Arial" w:hAnsi="Arial" w:cs="Arial"/>
          <w:bCs/>
          <w:sz w:val="24"/>
          <w:u w:val="single"/>
        </w:rPr>
        <w:t xml:space="preserve"> permiso de construcción</w:t>
      </w:r>
      <w:r w:rsidR="00477E9A" w:rsidRPr="00477E9A">
        <w:rPr>
          <w:rFonts w:ascii="Arial" w:hAnsi="Arial" w:cs="Arial"/>
          <w:bCs/>
          <w:sz w:val="24"/>
          <w:u w:val="single"/>
        </w:rPr>
        <w:t xml:space="preserve"> luego</w:t>
      </w:r>
      <w:r w:rsidR="00477E9A">
        <w:rPr>
          <w:rFonts w:ascii="Arial" w:hAnsi="Arial" w:cs="Arial"/>
          <w:bCs/>
          <w:sz w:val="24"/>
        </w:rPr>
        <w:t xml:space="preserve"> de obtenida la </w:t>
      </w:r>
      <w:r w:rsidR="00477E9A" w:rsidRPr="00477E9A">
        <w:rPr>
          <w:rFonts w:ascii="Arial" w:hAnsi="Arial" w:cs="Arial"/>
          <w:bCs/>
          <w:i/>
          <w:sz w:val="24"/>
        </w:rPr>
        <w:t>DETERMINACIÓN DE CUMPLIMIENTO AMBIENTAL</w:t>
      </w:r>
      <w:r w:rsidR="00477E9A">
        <w:rPr>
          <w:rFonts w:ascii="Arial" w:hAnsi="Arial" w:cs="Arial"/>
          <w:bCs/>
          <w:sz w:val="24"/>
        </w:rPr>
        <w:t>,</w:t>
      </w:r>
      <w:r w:rsidR="00854547">
        <w:rPr>
          <w:rFonts w:ascii="Arial" w:hAnsi="Arial" w:cs="Arial"/>
          <w:bCs/>
          <w:sz w:val="24"/>
        </w:rPr>
        <w:t xml:space="preserve"> </w:t>
      </w:r>
      <w:r w:rsidR="00854547" w:rsidRPr="00477E9A">
        <w:rPr>
          <w:rFonts w:ascii="Arial" w:hAnsi="Arial" w:cs="Arial"/>
          <w:bCs/>
          <w:sz w:val="24"/>
          <w:u w:val="single"/>
        </w:rPr>
        <w:t>el día 22 de abril de 2022</w:t>
      </w:r>
      <w:r w:rsidR="00854547">
        <w:rPr>
          <w:rFonts w:ascii="Arial" w:hAnsi="Arial" w:cs="Arial"/>
          <w:bCs/>
          <w:sz w:val="24"/>
        </w:rPr>
        <w:t xml:space="preserve"> </w:t>
      </w:r>
      <w:r>
        <w:rPr>
          <w:rStyle w:val="FootnoteReference"/>
          <w:rFonts w:ascii="Arial" w:hAnsi="Arial" w:cs="Arial"/>
          <w:bCs/>
          <w:sz w:val="24"/>
        </w:rPr>
        <w:footnoteReference w:id="31"/>
      </w:r>
      <w:r w:rsidR="00854547">
        <w:rPr>
          <w:rFonts w:ascii="Arial" w:hAnsi="Arial" w:cs="Arial"/>
          <w:bCs/>
          <w:sz w:val="24"/>
        </w:rPr>
        <w:t>.</w:t>
      </w:r>
    </w:p>
    <w:p w:rsidR="00854547" w:rsidRPr="00477E9A" w:rsidRDefault="00477E9A" w:rsidP="00D625D0">
      <w:pPr>
        <w:pStyle w:val="BodyText"/>
        <w:numPr>
          <w:ilvl w:val="0"/>
          <w:numId w:val="11"/>
        </w:numPr>
        <w:ind w:left="360"/>
        <w:jc w:val="both"/>
        <w:rPr>
          <w:rFonts w:ascii="Arial" w:hAnsi="Arial" w:cs="Arial"/>
          <w:bCs/>
          <w:sz w:val="24"/>
        </w:rPr>
      </w:pPr>
      <w:r w:rsidRPr="00477E9A">
        <w:rPr>
          <w:rFonts w:ascii="Arial" w:hAnsi="Arial" w:cs="Arial"/>
          <w:bCs/>
          <w:sz w:val="24"/>
          <w:lang w:val="es-PR"/>
        </w:rPr>
        <w:t xml:space="preserve">QMC depositó en el correo </w:t>
      </w:r>
      <w:r w:rsidRPr="00477E9A">
        <w:rPr>
          <w:rFonts w:ascii="Arial" w:hAnsi="Arial" w:cs="Arial"/>
          <w:bCs/>
          <w:sz w:val="24"/>
          <w:u w:val="single"/>
          <w:lang w:val="es-PR"/>
        </w:rPr>
        <w:t>la notificación a colindantes sobre la solicitud de permiso de construcción en el caso de epígrafe</w:t>
      </w:r>
      <w:r w:rsidRPr="00477E9A">
        <w:rPr>
          <w:rFonts w:ascii="Arial" w:hAnsi="Arial" w:cs="Arial"/>
          <w:bCs/>
          <w:sz w:val="24"/>
          <w:lang w:val="es-PR"/>
        </w:rPr>
        <w:t xml:space="preserve"> el pasado día 4 de mayo del 2022 </w:t>
      </w:r>
      <w:r w:rsidRPr="00477E9A">
        <w:rPr>
          <w:rFonts w:ascii="Arial" w:hAnsi="Arial" w:cs="Arial"/>
          <w:bCs/>
          <w:sz w:val="24"/>
          <w:vertAlign w:val="superscript"/>
          <w:lang w:val="es-PR"/>
        </w:rPr>
        <w:footnoteReference w:id="32"/>
      </w:r>
      <w:r w:rsidRPr="00477E9A">
        <w:rPr>
          <w:rFonts w:ascii="Arial" w:hAnsi="Arial" w:cs="Arial"/>
          <w:bCs/>
          <w:sz w:val="24"/>
          <w:lang w:val="es-PR"/>
        </w:rPr>
        <w:t>.</w:t>
      </w:r>
    </w:p>
    <w:p w:rsidR="00477E9A" w:rsidRPr="00477E9A" w:rsidRDefault="002876AA" w:rsidP="00D625D0">
      <w:pPr>
        <w:pStyle w:val="BodyText"/>
        <w:numPr>
          <w:ilvl w:val="0"/>
          <w:numId w:val="11"/>
        </w:numPr>
        <w:ind w:left="360"/>
        <w:jc w:val="both"/>
        <w:rPr>
          <w:rFonts w:ascii="Arial" w:hAnsi="Arial" w:cs="Arial"/>
          <w:bCs/>
          <w:sz w:val="24"/>
        </w:rPr>
      </w:pPr>
      <w:r>
        <w:rPr>
          <w:rFonts w:ascii="Arial" w:hAnsi="Arial" w:cs="Arial"/>
          <w:bCs/>
          <w:sz w:val="24"/>
          <w:lang w:val="es-PR"/>
        </w:rPr>
        <w:t>Luego de la anterior fecha de notificación, e</w:t>
      </w:r>
      <w:r w:rsidR="00477E9A" w:rsidRPr="00477E9A">
        <w:rPr>
          <w:rFonts w:ascii="Arial" w:hAnsi="Arial" w:cs="Arial"/>
          <w:bCs/>
          <w:sz w:val="24"/>
          <w:lang w:val="es-PR"/>
        </w:rPr>
        <w:t>nterados los RECURRENTES y sus vecinos de la solicitud de permiso, se aprestaron a participar en el proceso, por sus múltiples objeciones al proyecto.</w:t>
      </w:r>
    </w:p>
    <w:p w:rsidR="007E509F" w:rsidRDefault="007E509F" w:rsidP="00D625D0">
      <w:pPr>
        <w:pStyle w:val="BodyText"/>
        <w:numPr>
          <w:ilvl w:val="0"/>
          <w:numId w:val="11"/>
        </w:numPr>
        <w:ind w:left="360"/>
        <w:jc w:val="both"/>
        <w:rPr>
          <w:rFonts w:ascii="Arial" w:hAnsi="Arial" w:cs="Arial"/>
          <w:bCs/>
          <w:sz w:val="24"/>
        </w:rPr>
      </w:pPr>
      <w:r>
        <w:rPr>
          <w:rFonts w:ascii="Arial" w:hAnsi="Arial" w:cs="Arial"/>
          <w:bCs/>
          <w:sz w:val="24"/>
        </w:rPr>
        <w:t xml:space="preserve">El día 31 de mayo de 2022 la OGPe otorgó el </w:t>
      </w:r>
      <w:r>
        <w:rPr>
          <w:rFonts w:ascii="Arial" w:hAnsi="Arial" w:cs="Arial"/>
          <w:bCs/>
          <w:i/>
          <w:sz w:val="24"/>
        </w:rPr>
        <w:t>PERMISO IMPUGNADO</w:t>
      </w:r>
      <w:r>
        <w:rPr>
          <w:rFonts w:ascii="Arial" w:hAnsi="Arial" w:cs="Arial"/>
          <w:bCs/>
          <w:sz w:val="24"/>
        </w:rPr>
        <w:t>. El mismo no contiene determinaciones de hechos ni conclusiones de derecho. También aprueba la construcción tal como se describió en el Memorial Explicativo, los planos y las condiciones aquí reseñadas.</w:t>
      </w:r>
      <w:r>
        <w:rPr>
          <w:rStyle w:val="FootnoteReference"/>
          <w:rFonts w:ascii="Arial" w:hAnsi="Arial" w:cs="Arial"/>
          <w:bCs/>
          <w:sz w:val="24"/>
        </w:rPr>
        <w:footnoteReference w:id="33"/>
      </w:r>
      <w:r>
        <w:rPr>
          <w:rFonts w:ascii="Arial" w:hAnsi="Arial" w:cs="Arial"/>
          <w:bCs/>
          <w:sz w:val="24"/>
        </w:rPr>
        <w:t xml:space="preserve"> </w:t>
      </w:r>
    </w:p>
    <w:p w:rsidR="007E509F" w:rsidRDefault="007E509F" w:rsidP="00D625D0">
      <w:pPr>
        <w:pStyle w:val="BodyText"/>
        <w:numPr>
          <w:ilvl w:val="0"/>
          <w:numId w:val="11"/>
        </w:numPr>
        <w:ind w:left="360"/>
        <w:jc w:val="both"/>
        <w:rPr>
          <w:rFonts w:ascii="Arial" w:hAnsi="Arial" w:cs="Arial"/>
          <w:bCs/>
          <w:sz w:val="24"/>
        </w:rPr>
      </w:pPr>
      <w:r>
        <w:rPr>
          <w:rFonts w:ascii="Arial" w:hAnsi="Arial" w:cs="Arial"/>
          <w:bCs/>
          <w:sz w:val="24"/>
        </w:rPr>
        <w:t xml:space="preserve">La OGPe no celebró vista del </w:t>
      </w:r>
      <w:r>
        <w:rPr>
          <w:rFonts w:ascii="Arial" w:hAnsi="Arial" w:cs="Arial"/>
          <w:bCs/>
          <w:i/>
          <w:sz w:val="24"/>
        </w:rPr>
        <w:t>NEPA-Like process</w:t>
      </w:r>
      <w:r>
        <w:rPr>
          <w:rFonts w:ascii="Arial" w:hAnsi="Arial" w:cs="Arial"/>
          <w:bCs/>
          <w:sz w:val="24"/>
        </w:rPr>
        <w:t xml:space="preserve"> para áreas ecológicamente sensitivas para dicho proceso urbanizador antes de otorgar el permiso.</w:t>
      </w:r>
    </w:p>
    <w:p w:rsidR="007E509F" w:rsidRPr="007E509F" w:rsidRDefault="007E509F" w:rsidP="00D625D0">
      <w:pPr>
        <w:pStyle w:val="BodyText"/>
        <w:numPr>
          <w:ilvl w:val="0"/>
          <w:numId w:val="11"/>
        </w:numPr>
        <w:ind w:left="360"/>
        <w:jc w:val="both"/>
        <w:rPr>
          <w:rFonts w:ascii="Arial" w:hAnsi="Arial" w:cs="Arial"/>
          <w:bCs/>
          <w:sz w:val="24"/>
        </w:rPr>
      </w:pPr>
      <w:r>
        <w:rPr>
          <w:rFonts w:ascii="Arial" w:hAnsi="Arial" w:cs="Arial"/>
          <w:bCs/>
          <w:iCs/>
          <w:sz w:val="24"/>
          <w:lang w:val="es-PR"/>
        </w:rPr>
        <w:t>E</w:t>
      </w:r>
      <w:r w:rsidRPr="007E509F">
        <w:rPr>
          <w:rFonts w:ascii="Arial" w:hAnsi="Arial" w:cs="Arial"/>
          <w:bCs/>
          <w:iCs/>
          <w:sz w:val="24"/>
          <w:lang w:val="es-PR"/>
        </w:rPr>
        <w:t xml:space="preserve">l </w:t>
      </w:r>
      <w:r w:rsidRPr="007E509F">
        <w:rPr>
          <w:rFonts w:ascii="Arial" w:hAnsi="Arial" w:cs="Arial"/>
          <w:bCs/>
          <w:i/>
          <w:iCs/>
          <w:sz w:val="24"/>
          <w:lang w:val="es-PR"/>
        </w:rPr>
        <w:t>PERMISO IMPUGNADO</w:t>
      </w:r>
      <w:r w:rsidRPr="007E509F">
        <w:rPr>
          <w:rFonts w:ascii="Arial" w:hAnsi="Arial" w:cs="Arial"/>
          <w:bCs/>
          <w:iCs/>
          <w:sz w:val="24"/>
          <w:lang w:val="es-PR"/>
        </w:rPr>
        <w:t xml:space="preserve"> no fue notificado por la agencia, ni por QMC, a nadie en la comunidad de los RECURRENTES</w:t>
      </w:r>
      <w:r>
        <w:rPr>
          <w:rFonts w:ascii="Arial" w:hAnsi="Arial" w:cs="Arial"/>
          <w:bCs/>
          <w:iCs/>
          <w:sz w:val="24"/>
          <w:lang w:val="es-PR"/>
        </w:rPr>
        <w:t>.</w:t>
      </w:r>
      <w:r>
        <w:rPr>
          <w:rStyle w:val="FootnoteReference"/>
          <w:rFonts w:ascii="Arial" w:hAnsi="Arial" w:cs="Arial"/>
          <w:bCs/>
          <w:iCs/>
          <w:sz w:val="24"/>
          <w:lang w:val="es-PR"/>
        </w:rPr>
        <w:footnoteReference w:id="34"/>
      </w:r>
    </w:p>
    <w:p w:rsidR="007E509F" w:rsidRPr="00F23E85" w:rsidRDefault="007E509F" w:rsidP="00D625D0">
      <w:pPr>
        <w:pStyle w:val="BodyText"/>
        <w:numPr>
          <w:ilvl w:val="0"/>
          <w:numId w:val="11"/>
        </w:numPr>
        <w:ind w:left="360"/>
        <w:jc w:val="both"/>
        <w:rPr>
          <w:rFonts w:ascii="Arial" w:hAnsi="Arial" w:cs="Arial"/>
          <w:bCs/>
          <w:sz w:val="24"/>
        </w:rPr>
      </w:pPr>
      <w:r>
        <w:rPr>
          <w:rFonts w:ascii="Arial" w:hAnsi="Arial" w:cs="Arial"/>
          <w:bCs/>
          <w:iCs/>
          <w:sz w:val="24"/>
          <w:lang w:val="es-PR"/>
        </w:rPr>
        <w:t xml:space="preserve">El día 14 de junio de 2022 </w:t>
      </w:r>
      <w:r w:rsidR="00D0056A">
        <w:rPr>
          <w:rFonts w:ascii="Arial" w:hAnsi="Arial" w:cs="Arial"/>
          <w:bCs/>
          <w:iCs/>
          <w:sz w:val="24"/>
          <w:lang w:val="es-PR"/>
        </w:rPr>
        <w:t>la PARTE RECURRENTE obtuvo</w:t>
      </w:r>
      <w:r>
        <w:rPr>
          <w:rFonts w:ascii="Arial" w:hAnsi="Arial" w:cs="Arial"/>
          <w:bCs/>
          <w:iCs/>
          <w:sz w:val="24"/>
          <w:lang w:val="es-PR"/>
        </w:rPr>
        <w:t xml:space="preserve"> copia del expediente administrativo ante la agencia del proyecto de QMC.</w:t>
      </w:r>
      <w:r>
        <w:rPr>
          <w:rStyle w:val="FootnoteReference"/>
          <w:rFonts w:ascii="Arial" w:hAnsi="Arial" w:cs="Arial"/>
          <w:bCs/>
          <w:iCs/>
          <w:sz w:val="24"/>
          <w:lang w:val="es-PR"/>
        </w:rPr>
        <w:footnoteReference w:id="35"/>
      </w:r>
    </w:p>
    <w:p w:rsidR="00F23E85" w:rsidRPr="00F23E85" w:rsidRDefault="00F23E85" w:rsidP="00D625D0">
      <w:pPr>
        <w:pStyle w:val="BodyText"/>
        <w:numPr>
          <w:ilvl w:val="0"/>
          <w:numId w:val="11"/>
        </w:numPr>
        <w:ind w:left="360"/>
        <w:jc w:val="both"/>
        <w:rPr>
          <w:rFonts w:ascii="Arial" w:hAnsi="Arial" w:cs="Arial"/>
          <w:bCs/>
          <w:sz w:val="24"/>
        </w:rPr>
      </w:pPr>
      <w:r>
        <w:rPr>
          <w:rFonts w:ascii="Arial" w:hAnsi="Arial" w:cs="Arial"/>
          <w:bCs/>
          <w:iCs/>
          <w:sz w:val="24"/>
          <w:lang w:val="es-PR"/>
        </w:rPr>
        <w:t>Entonces los RECURRENTES se enteraron de la otorgación del permiso, porque lo hallaron adentro de dicho expediente.</w:t>
      </w:r>
      <w:r>
        <w:rPr>
          <w:rStyle w:val="FootnoteReference"/>
          <w:rFonts w:ascii="Arial" w:hAnsi="Arial" w:cs="Arial"/>
          <w:bCs/>
          <w:iCs/>
          <w:sz w:val="24"/>
          <w:lang w:val="es-PR"/>
        </w:rPr>
        <w:footnoteReference w:id="36"/>
      </w:r>
    </w:p>
    <w:p w:rsidR="00F23E85" w:rsidRDefault="00F23E85" w:rsidP="00D625D0">
      <w:pPr>
        <w:pStyle w:val="BodyText"/>
        <w:numPr>
          <w:ilvl w:val="0"/>
          <w:numId w:val="11"/>
        </w:numPr>
        <w:ind w:left="360"/>
        <w:jc w:val="both"/>
        <w:rPr>
          <w:rFonts w:ascii="Arial" w:hAnsi="Arial" w:cs="Arial"/>
          <w:bCs/>
          <w:sz w:val="24"/>
        </w:rPr>
      </w:pPr>
      <w:r>
        <w:rPr>
          <w:rFonts w:ascii="Arial" w:hAnsi="Arial" w:cs="Arial"/>
          <w:bCs/>
          <w:sz w:val="24"/>
        </w:rPr>
        <w:t>Tres (3) días más tarde los RECURRENTES contrataron con el abogado suscribiente para presentar el RRA, el viernes 17 de junio de 2022, en horas de la tarde y en el  Bo. Frontón de Ciales.</w:t>
      </w:r>
    </w:p>
    <w:p w:rsidR="00F23E85" w:rsidRDefault="00F23E85" w:rsidP="00D625D0">
      <w:pPr>
        <w:pStyle w:val="BodyText"/>
        <w:numPr>
          <w:ilvl w:val="0"/>
          <w:numId w:val="11"/>
        </w:numPr>
        <w:ind w:left="360"/>
        <w:jc w:val="both"/>
        <w:rPr>
          <w:rFonts w:ascii="Arial" w:hAnsi="Arial" w:cs="Arial"/>
          <w:bCs/>
          <w:sz w:val="24"/>
        </w:rPr>
      </w:pPr>
      <w:r>
        <w:rPr>
          <w:rFonts w:ascii="Arial" w:hAnsi="Arial" w:cs="Arial"/>
          <w:bCs/>
          <w:sz w:val="24"/>
        </w:rPr>
        <w:t>Este abogado suscribiente, enterado y contratado para presentar el RRA, comenzó a auscultar el expediente administrativo al próximo día, sábado 18 de junio de 2022, en mi computadora en mi casa en Juana Díaz.</w:t>
      </w:r>
    </w:p>
    <w:p w:rsidR="00F23E85" w:rsidRDefault="00F23E85" w:rsidP="00D625D0">
      <w:pPr>
        <w:pStyle w:val="BodyText"/>
        <w:numPr>
          <w:ilvl w:val="0"/>
          <w:numId w:val="11"/>
        </w:numPr>
        <w:ind w:left="360"/>
        <w:jc w:val="both"/>
        <w:rPr>
          <w:rFonts w:ascii="Arial" w:hAnsi="Arial" w:cs="Arial"/>
          <w:bCs/>
          <w:sz w:val="24"/>
        </w:rPr>
      </w:pPr>
      <w:r>
        <w:rPr>
          <w:rFonts w:ascii="Arial" w:hAnsi="Arial" w:cs="Arial"/>
          <w:bCs/>
          <w:sz w:val="24"/>
        </w:rPr>
        <w:t>Al próximo día, 19 de junio de 2022, Día de los Padres, no trabajé porque tenía compromiso previo con mi padre y mis hijos.</w:t>
      </w:r>
    </w:p>
    <w:p w:rsidR="00F23E85" w:rsidRDefault="00F23E85" w:rsidP="00D625D0">
      <w:pPr>
        <w:pStyle w:val="BodyText"/>
        <w:numPr>
          <w:ilvl w:val="0"/>
          <w:numId w:val="11"/>
        </w:numPr>
        <w:ind w:left="360"/>
        <w:jc w:val="both"/>
        <w:rPr>
          <w:rFonts w:ascii="Arial" w:hAnsi="Arial" w:cs="Arial"/>
          <w:bCs/>
          <w:sz w:val="24"/>
        </w:rPr>
      </w:pPr>
      <w:r>
        <w:rPr>
          <w:rFonts w:ascii="Arial" w:hAnsi="Arial" w:cs="Arial"/>
          <w:bCs/>
          <w:sz w:val="24"/>
        </w:rPr>
        <w:t xml:space="preserve">Pero, el próximo día, lunes 20 (feriado federal por celebrarse </w:t>
      </w:r>
      <w:r>
        <w:rPr>
          <w:rFonts w:ascii="Arial" w:hAnsi="Arial" w:cs="Arial"/>
          <w:bCs/>
          <w:i/>
          <w:sz w:val="24"/>
        </w:rPr>
        <w:t>Junteenth</w:t>
      </w:r>
      <w:r>
        <w:rPr>
          <w:rFonts w:ascii="Arial" w:hAnsi="Arial" w:cs="Arial"/>
          <w:bCs/>
          <w:sz w:val="24"/>
        </w:rPr>
        <w:t>) y el martes 21 de junio, ambos de 2022, trabajé todo el día para completar el RRA.</w:t>
      </w:r>
    </w:p>
    <w:p w:rsidR="00F23E85" w:rsidRDefault="000F27EC" w:rsidP="00D625D0">
      <w:pPr>
        <w:pStyle w:val="BodyText"/>
        <w:numPr>
          <w:ilvl w:val="0"/>
          <w:numId w:val="11"/>
        </w:numPr>
        <w:ind w:left="360"/>
        <w:jc w:val="both"/>
        <w:rPr>
          <w:rFonts w:ascii="Arial" w:hAnsi="Arial" w:cs="Arial"/>
          <w:bCs/>
          <w:sz w:val="24"/>
        </w:rPr>
      </w:pPr>
      <w:r>
        <w:rPr>
          <w:rFonts w:ascii="Arial" w:hAnsi="Arial" w:cs="Arial"/>
          <w:bCs/>
          <w:sz w:val="24"/>
        </w:rPr>
        <w:t>Ese martes, 21 de junio de 2022, “</w:t>
      </w:r>
      <w:r w:rsidRPr="000F27EC">
        <w:rPr>
          <w:rFonts w:ascii="Arial" w:hAnsi="Arial" w:cs="Arial"/>
          <w:b/>
          <w:bCs/>
          <w:sz w:val="24"/>
        </w:rPr>
        <w:t>a las 11:30 p.m.</w:t>
      </w:r>
      <w:r>
        <w:rPr>
          <w:rFonts w:ascii="Arial" w:hAnsi="Arial" w:cs="Arial"/>
          <w:bCs/>
          <w:sz w:val="24"/>
        </w:rPr>
        <w:t xml:space="preserve">, los recurrentes [iniciamos] en la División de Revisiones Administrativas de la OGPe la presentación de la </w:t>
      </w:r>
      <w:r>
        <w:rPr>
          <w:rFonts w:ascii="Arial" w:hAnsi="Arial" w:cs="Arial"/>
          <w:bCs/>
          <w:i/>
          <w:sz w:val="24"/>
          <w:u w:val="single"/>
        </w:rPr>
        <w:t>Solicitud de Revisión Administrativa</w:t>
      </w:r>
      <w:r>
        <w:rPr>
          <w:rFonts w:ascii="Arial" w:hAnsi="Arial" w:cs="Arial"/>
          <w:bCs/>
          <w:sz w:val="24"/>
        </w:rPr>
        <w:t xml:space="preserve"> impugnando el permiso de construcción en cuestión.” (énfasis en el original)</w:t>
      </w:r>
      <w:r>
        <w:rPr>
          <w:rStyle w:val="FootnoteReference"/>
          <w:rFonts w:ascii="Arial" w:hAnsi="Arial" w:cs="Arial"/>
          <w:bCs/>
          <w:sz w:val="24"/>
        </w:rPr>
        <w:footnoteReference w:id="37"/>
      </w:r>
    </w:p>
    <w:p w:rsidR="000F27EC" w:rsidRPr="00B73316" w:rsidRDefault="000F27EC" w:rsidP="00D625D0">
      <w:pPr>
        <w:pStyle w:val="BodyText"/>
        <w:numPr>
          <w:ilvl w:val="0"/>
          <w:numId w:val="11"/>
        </w:numPr>
        <w:ind w:left="360"/>
        <w:jc w:val="both"/>
        <w:rPr>
          <w:rFonts w:ascii="Arial" w:hAnsi="Arial" w:cs="Arial"/>
          <w:bCs/>
          <w:sz w:val="24"/>
        </w:rPr>
      </w:pPr>
      <w:r>
        <w:rPr>
          <w:rFonts w:ascii="Arial" w:hAnsi="Arial" w:cs="Arial"/>
          <w:bCs/>
          <w:iCs/>
          <w:sz w:val="24"/>
          <w:lang w:val="es-PR"/>
        </w:rPr>
        <w:t>Este abogado cargó el escrito del R</w:t>
      </w:r>
      <w:r w:rsidR="00C8412F">
        <w:rPr>
          <w:rFonts w:ascii="Arial" w:hAnsi="Arial" w:cs="Arial"/>
          <w:bCs/>
          <w:iCs/>
          <w:sz w:val="24"/>
          <w:lang w:val="es-PR"/>
        </w:rPr>
        <w:t>R</w:t>
      </w:r>
      <w:r>
        <w:rPr>
          <w:rFonts w:ascii="Arial" w:hAnsi="Arial" w:cs="Arial"/>
          <w:bCs/>
          <w:iCs/>
          <w:sz w:val="24"/>
          <w:lang w:val="es-PR"/>
        </w:rPr>
        <w:t xml:space="preserve">A, la resolución recurrida (el </w:t>
      </w:r>
      <w:r>
        <w:rPr>
          <w:rFonts w:ascii="Arial" w:hAnsi="Arial" w:cs="Arial"/>
          <w:bCs/>
          <w:i/>
          <w:iCs/>
          <w:sz w:val="24"/>
          <w:lang w:val="es-PR"/>
        </w:rPr>
        <w:t>PERMISO IMPUGNADO</w:t>
      </w:r>
      <w:r>
        <w:rPr>
          <w:rFonts w:ascii="Arial" w:hAnsi="Arial" w:cs="Arial"/>
          <w:bCs/>
          <w:iCs/>
          <w:sz w:val="24"/>
          <w:lang w:val="es-PR"/>
        </w:rPr>
        <w:t xml:space="preserve">) y varios otros anejos, que en ese momento recibió la nomenclatura de epígrafe, </w:t>
      </w:r>
      <w:r w:rsidRPr="00E8708F">
        <w:rPr>
          <w:rFonts w:ascii="Arial" w:hAnsi="Arial" w:cs="Arial"/>
          <w:b/>
          <w:bCs/>
          <w:iCs/>
          <w:sz w:val="24"/>
          <w:lang w:val="es-PR"/>
        </w:rPr>
        <w:t>2022-444154-SDR-009474</w:t>
      </w:r>
      <w:r>
        <w:rPr>
          <w:rFonts w:ascii="Arial" w:hAnsi="Arial" w:cs="Arial"/>
          <w:bCs/>
          <w:iCs/>
          <w:sz w:val="24"/>
          <w:lang w:val="es-PR"/>
        </w:rPr>
        <w:t xml:space="preserve">. Acto seguido el </w:t>
      </w:r>
      <w:r>
        <w:rPr>
          <w:rFonts w:ascii="Arial" w:hAnsi="Arial" w:cs="Arial"/>
          <w:bCs/>
          <w:i/>
          <w:iCs/>
          <w:sz w:val="24"/>
          <w:lang w:val="es-PR"/>
        </w:rPr>
        <w:t xml:space="preserve">Single Business Portal </w:t>
      </w:r>
      <w:r>
        <w:rPr>
          <w:rFonts w:ascii="Arial" w:hAnsi="Arial" w:cs="Arial"/>
          <w:bCs/>
          <w:iCs/>
          <w:sz w:val="24"/>
          <w:lang w:val="es-PR"/>
        </w:rPr>
        <w:t>(SBP) de la OGPe dirigió a esta PARTE al pago de los aranceles, cosa que hicimos y completamos, al menos la parte de hacer el pago, en sólo minutos, restando aun varios minutos para que se terminara el día.</w:t>
      </w:r>
    </w:p>
    <w:p w:rsidR="00E04297" w:rsidRDefault="00B73316" w:rsidP="00E04297">
      <w:pPr>
        <w:pStyle w:val="BodyText"/>
        <w:numPr>
          <w:ilvl w:val="0"/>
          <w:numId w:val="11"/>
        </w:numPr>
        <w:ind w:left="360"/>
        <w:jc w:val="both"/>
        <w:rPr>
          <w:rFonts w:ascii="Arial" w:hAnsi="Arial" w:cs="Arial"/>
          <w:bCs/>
          <w:sz w:val="24"/>
          <w:lang w:val="es-PR"/>
        </w:rPr>
      </w:pPr>
      <w:r w:rsidRPr="00E04297">
        <w:rPr>
          <w:rFonts w:ascii="Arial" w:hAnsi="Arial" w:cs="Arial"/>
          <w:bCs/>
          <w:sz w:val="24"/>
          <w:lang w:val="es-PR"/>
        </w:rPr>
        <w:t>En el RRA</w:t>
      </w:r>
      <w:r w:rsidR="00F96B07">
        <w:rPr>
          <w:rStyle w:val="FootnoteReference"/>
          <w:rFonts w:ascii="Arial" w:hAnsi="Arial" w:cs="Arial"/>
          <w:bCs/>
          <w:sz w:val="24"/>
          <w:lang w:val="es-PR"/>
        </w:rPr>
        <w:footnoteReference w:id="38"/>
      </w:r>
      <w:r w:rsidRPr="00E04297">
        <w:rPr>
          <w:rFonts w:ascii="Arial" w:hAnsi="Arial" w:cs="Arial"/>
          <w:bCs/>
          <w:sz w:val="24"/>
          <w:lang w:val="es-PR"/>
        </w:rPr>
        <w:t xml:space="preserve">, además de resaltar los anteriores hechos como alegaciones, también informamos a la DRA-OGPe que </w:t>
      </w:r>
      <w:r w:rsidRPr="00E04297">
        <w:rPr>
          <w:rFonts w:ascii="Arial" w:hAnsi="Arial" w:cs="Arial"/>
          <w:b/>
          <w:bCs/>
          <w:sz w:val="24"/>
          <w:lang w:val="es-PR"/>
        </w:rPr>
        <w:t>(1)</w:t>
      </w:r>
      <w:r w:rsidRPr="00E04297">
        <w:rPr>
          <w:rFonts w:ascii="Arial" w:hAnsi="Arial" w:cs="Arial"/>
          <w:bCs/>
          <w:sz w:val="24"/>
          <w:lang w:val="es-PR"/>
        </w:rPr>
        <w:t xml:space="preserve"> el día 19 de abril de 2022 ya QMC había llegado con maquinaria y cortaron y removieron un árbol de algarrobo, árbol nativo de Puerto Rico, de sobre sesenta pies (60’) de altura y aproximadamente de un metro (1m) de diámetro, con sus raíces, lo trozaron y arrastraron hasta la pendiente detrás de la finca y ahí lo tirarion. Luego taparon el hoyo que había dejado donde arrancaron sus raíces. Esto fue presenciado por el RECURRENTE, Don Héctor Torres Trinidad, y se encuentra documentado el corte del árbol mediante fotos; </w:t>
      </w:r>
      <w:r w:rsidRPr="00E04297">
        <w:rPr>
          <w:rFonts w:ascii="Arial" w:hAnsi="Arial" w:cs="Arial"/>
          <w:b/>
          <w:bCs/>
          <w:sz w:val="24"/>
          <w:lang w:val="es-PR"/>
        </w:rPr>
        <w:t>(2)</w:t>
      </w:r>
      <w:r w:rsidRPr="00E04297">
        <w:rPr>
          <w:rFonts w:ascii="Arial" w:hAnsi="Arial" w:cs="Arial"/>
          <w:bCs/>
          <w:sz w:val="24"/>
          <w:lang w:val="es-PR"/>
        </w:rPr>
        <w:t xml:space="preserve"> que, en relación a sitios históricos y elegibles para ser sitios históricos, existe una estructura de iglesia que es conocida como la Capilla Católica Perpetuo Socorro, que es la primera iglesia Católica construido para la feligresía en el Barrio Frontón. Esta congregación se fundó en el año 1921; colindante con la Capilla Perpetuo Socorro está el edificio en ruinas de la Hacienda Nuñez, propiedad del RECURRENTE, SR. MARINA DURAN. Esta hacienda fue construida en la década de 1940. Esta fue uno de las primeras haciendas de café con maquinaria de expulpar, pilar y lavar las semillas de café, a la que en aquellos tiempos venían personas de diferentes países del continente para observar la maquinaria, que aún existe en la edificación, por ser una finca modelo</w:t>
      </w:r>
      <w:r w:rsidR="00E04297" w:rsidRPr="00E04297">
        <w:rPr>
          <w:rFonts w:ascii="Arial" w:hAnsi="Arial" w:cs="Arial"/>
          <w:bCs/>
          <w:sz w:val="24"/>
          <w:lang w:val="es-PR"/>
        </w:rPr>
        <w:t xml:space="preserve">; también, la Hacienda Santa Elena, reconocida como patrimonio histórico según los Registros del Instituto de Cultura Puertorriqueña, identificada como “histórico” con la nomenclatura </w:t>
      </w:r>
      <w:r w:rsidR="00E04297" w:rsidRPr="00E04297">
        <w:rPr>
          <w:rFonts w:ascii="Arial" w:hAnsi="Arial" w:cs="Arial"/>
          <w:b/>
          <w:bCs/>
          <w:sz w:val="24"/>
          <w:lang w:val="es-PR"/>
        </w:rPr>
        <w:t>CL-38</w:t>
      </w:r>
      <w:r w:rsidR="00E04297" w:rsidRPr="00E04297">
        <w:rPr>
          <w:rFonts w:ascii="Arial" w:hAnsi="Arial" w:cs="Arial"/>
          <w:bCs/>
          <w:sz w:val="24"/>
          <w:lang w:val="es-PR"/>
        </w:rPr>
        <w:t xml:space="preserve">, está a una distancia de .53 millas rectas del lugar del centroide de la torre aprobada en el permiso. O sea, también dentro de los ¾ de milla de distancia y por lo que todas quedan dentro del área de efecto potencial (“area of potential effect, APE”) para torres de telecomunicaciones, en relación a Propiedad Histórica (“Historic Properties”) para una torre </w:t>
      </w:r>
      <w:r w:rsidR="00E04297">
        <w:rPr>
          <w:rFonts w:ascii="Arial" w:hAnsi="Arial" w:cs="Arial"/>
          <w:bCs/>
          <w:sz w:val="24"/>
          <w:lang w:val="es-PR"/>
        </w:rPr>
        <w:t>como la aprobada (de 250 pies)</w:t>
      </w:r>
      <w:r w:rsidR="00E04297">
        <w:rPr>
          <w:rStyle w:val="FootnoteReference"/>
          <w:rFonts w:ascii="Arial" w:hAnsi="Arial" w:cs="Arial"/>
          <w:bCs/>
          <w:sz w:val="24"/>
          <w:lang w:val="es-PR"/>
        </w:rPr>
        <w:footnoteReference w:id="39"/>
      </w:r>
      <w:r w:rsidR="00E04297">
        <w:rPr>
          <w:rFonts w:ascii="Arial" w:hAnsi="Arial" w:cs="Arial"/>
          <w:bCs/>
          <w:sz w:val="24"/>
          <w:lang w:val="es-PR"/>
        </w:rPr>
        <w:t>. Por lo que señalamos como error ante la DRA-OGPe que:</w:t>
      </w:r>
    </w:p>
    <w:p w:rsidR="00E04297" w:rsidRDefault="00E04297" w:rsidP="00F96B07">
      <w:pPr>
        <w:pStyle w:val="BodyText"/>
        <w:numPr>
          <w:ilvl w:val="0"/>
          <w:numId w:val="32"/>
        </w:numPr>
        <w:spacing w:line="240" w:lineRule="auto"/>
        <w:ind w:right="360"/>
        <w:jc w:val="both"/>
        <w:rPr>
          <w:rFonts w:ascii="Arial" w:hAnsi="Arial" w:cs="Arial"/>
          <w:bCs/>
          <w:sz w:val="20"/>
          <w:lang w:val="es-PR"/>
        </w:rPr>
      </w:pPr>
      <w:r w:rsidRPr="00E04297">
        <w:rPr>
          <w:rFonts w:ascii="Arial" w:hAnsi="Arial" w:cs="Arial"/>
          <w:bCs/>
          <w:sz w:val="20"/>
          <w:lang w:val="es-PR"/>
        </w:rPr>
        <w:t>Erró la OGPe al aprobar el permiso de construcción de una torre de telecomunicaciones en terrenos clasificados como susceptibles a deslizamientos;</w:t>
      </w:r>
    </w:p>
    <w:p w:rsidR="00E04297" w:rsidRPr="00E04297" w:rsidRDefault="00E04297" w:rsidP="00F96B07">
      <w:pPr>
        <w:pStyle w:val="BodyText"/>
        <w:spacing w:line="240" w:lineRule="auto"/>
        <w:ind w:left="1080" w:right="360"/>
        <w:jc w:val="both"/>
        <w:rPr>
          <w:rFonts w:ascii="Arial" w:hAnsi="Arial" w:cs="Arial"/>
          <w:bCs/>
          <w:sz w:val="20"/>
          <w:lang w:val="es-PR"/>
        </w:rPr>
      </w:pPr>
    </w:p>
    <w:p w:rsidR="00E04297" w:rsidRDefault="00E04297" w:rsidP="00F96B07">
      <w:pPr>
        <w:pStyle w:val="BodyText"/>
        <w:numPr>
          <w:ilvl w:val="0"/>
          <w:numId w:val="32"/>
        </w:numPr>
        <w:spacing w:line="240" w:lineRule="auto"/>
        <w:ind w:right="360"/>
        <w:jc w:val="both"/>
        <w:rPr>
          <w:rFonts w:ascii="Arial" w:hAnsi="Arial" w:cs="Arial"/>
          <w:bCs/>
          <w:sz w:val="20"/>
          <w:lang w:val="es-PR"/>
        </w:rPr>
      </w:pPr>
      <w:r w:rsidRPr="00E04297">
        <w:rPr>
          <w:rFonts w:ascii="Arial" w:hAnsi="Arial" w:cs="Arial"/>
          <w:bCs/>
          <w:sz w:val="20"/>
          <w:lang w:val="es-PR"/>
        </w:rPr>
        <w:t>Erró la OGPe al no celebrar una consulta de ubicación para el proyecto propuesto antes de otorgar el permiso de construcción;</w:t>
      </w:r>
    </w:p>
    <w:p w:rsidR="00E04297" w:rsidRPr="00E04297" w:rsidRDefault="00E04297" w:rsidP="00F96B07">
      <w:pPr>
        <w:pStyle w:val="BodyText"/>
        <w:spacing w:line="240" w:lineRule="auto"/>
        <w:ind w:left="1080" w:right="360"/>
        <w:jc w:val="both"/>
        <w:rPr>
          <w:rFonts w:ascii="Arial" w:hAnsi="Arial" w:cs="Arial"/>
          <w:bCs/>
          <w:sz w:val="20"/>
          <w:lang w:val="es-PR"/>
        </w:rPr>
      </w:pPr>
    </w:p>
    <w:p w:rsidR="00E04297" w:rsidRPr="00E04297" w:rsidRDefault="00E04297" w:rsidP="00F96B07">
      <w:pPr>
        <w:pStyle w:val="BodyText"/>
        <w:numPr>
          <w:ilvl w:val="0"/>
          <w:numId w:val="32"/>
        </w:numPr>
        <w:spacing w:line="240" w:lineRule="auto"/>
        <w:ind w:right="360"/>
        <w:jc w:val="both"/>
        <w:rPr>
          <w:rFonts w:ascii="Arial" w:hAnsi="Arial" w:cs="Arial"/>
          <w:bCs/>
          <w:sz w:val="20"/>
          <w:lang w:val="es-PR"/>
        </w:rPr>
      </w:pPr>
      <w:r w:rsidRPr="00E04297">
        <w:rPr>
          <w:rFonts w:ascii="Arial" w:hAnsi="Arial" w:cs="Arial"/>
          <w:bCs/>
          <w:sz w:val="20"/>
          <w:lang w:val="es-PR"/>
        </w:rPr>
        <w:t>Erró la OGPe al no celebrar un “NEPA-Like process” para el proyecto propuesto antes de otorgar el permiso de construcción;</w:t>
      </w:r>
    </w:p>
    <w:p w:rsidR="00E04297" w:rsidRDefault="00E04297" w:rsidP="00F96B07">
      <w:pPr>
        <w:pStyle w:val="BodyText"/>
        <w:spacing w:line="240" w:lineRule="auto"/>
        <w:ind w:left="1080" w:right="360"/>
        <w:jc w:val="both"/>
        <w:rPr>
          <w:rFonts w:ascii="Arial" w:hAnsi="Arial" w:cs="Arial"/>
          <w:bCs/>
          <w:sz w:val="20"/>
          <w:lang w:val="es-PR"/>
        </w:rPr>
      </w:pPr>
    </w:p>
    <w:p w:rsidR="00E04297" w:rsidRPr="00E04297" w:rsidRDefault="00E04297" w:rsidP="00F96B07">
      <w:pPr>
        <w:pStyle w:val="BodyText"/>
        <w:numPr>
          <w:ilvl w:val="0"/>
          <w:numId w:val="32"/>
        </w:numPr>
        <w:spacing w:line="240" w:lineRule="auto"/>
        <w:ind w:right="360"/>
        <w:jc w:val="both"/>
        <w:rPr>
          <w:rFonts w:ascii="Arial" w:hAnsi="Arial" w:cs="Arial"/>
          <w:bCs/>
          <w:sz w:val="20"/>
          <w:lang w:val="es-PR"/>
        </w:rPr>
      </w:pPr>
      <w:r w:rsidRPr="00E04297">
        <w:rPr>
          <w:rFonts w:ascii="Arial" w:hAnsi="Arial" w:cs="Arial"/>
          <w:bCs/>
          <w:sz w:val="20"/>
          <w:lang w:val="es-PR"/>
        </w:rPr>
        <w:t>Erró la OGPe al no contar con una debida Evaluación Ambiental para el proyecto propuesto antes de otorgar el permiso de construcción;</w:t>
      </w:r>
    </w:p>
    <w:p w:rsidR="00E04297" w:rsidRPr="00E04297" w:rsidRDefault="00E04297" w:rsidP="00F96B07">
      <w:pPr>
        <w:pStyle w:val="BodyText"/>
        <w:spacing w:line="240" w:lineRule="auto"/>
        <w:ind w:left="1080" w:right="360"/>
        <w:jc w:val="both"/>
        <w:rPr>
          <w:rFonts w:ascii="Arial" w:hAnsi="Arial" w:cs="Arial"/>
          <w:bCs/>
          <w:sz w:val="24"/>
          <w:lang w:val="es-PR"/>
        </w:rPr>
      </w:pPr>
    </w:p>
    <w:p w:rsidR="00E04297" w:rsidRPr="00F96B07" w:rsidRDefault="00E04297" w:rsidP="00F96B07">
      <w:pPr>
        <w:pStyle w:val="BodyText"/>
        <w:numPr>
          <w:ilvl w:val="0"/>
          <w:numId w:val="32"/>
        </w:numPr>
        <w:spacing w:line="240" w:lineRule="auto"/>
        <w:ind w:right="360"/>
        <w:jc w:val="both"/>
        <w:rPr>
          <w:rFonts w:ascii="Arial" w:hAnsi="Arial" w:cs="Arial"/>
          <w:bCs/>
          <w:sz w:val="24"/>
          <w:lang w:val="es-PR"/>
        </w:rPr>
      </w:pPr>
      <w:r w:rsidRPr="00E04297">
        <w:rPr>
          <w:rFonts w:ascii="Arial" w:hAnsi="Arial" w:cs="Arial"/>
          <w:bCs/>
          <w:sz w:val="20"/>
          <w:lang w:val="es-PR"/>
        </w:rPr>
        <w:t>Erró la OGPe al expedir el permiso de construcción como un permiso ministerial cuando los permisos para construccion de infraestructura de telecomunicaciones son permisos de tipo discrecional, que deben incluir determinaciones de hecho y conclusiones de derecho, que no constan en el permiso impugnado;</w:t>
      </w:r>
      <w:r w:rsidR="00F96B07">
        <w:rPr>
          <w:rStyle w:val="FootnoteReference"/>
          <w:rFonts w:ascii="Arial" w:hAnsi="Arial" w:cs="Arial"/>
          <w:bCs/>
          <w:sz w:val="20"/>
          <w:lang w:val="es-PR"/>
        </w:rPr>
        <w:footnoteReference w:id="40"/>
      </w:r>
    </w:p>
    <w:p w:rsidR="00F96B07" w:rsidRPr="00E04297" w:rsidRDefault="00F96B07" w:rsidP="00F96B07">
      <w:pPr>
        <w:pStyle w:val="BodyText"/>
        <w:spacing w:line="240" w:lineRule="auto"/>
        <w:ind w:left="720" w:right="360"/>
        <w:jc w:val="both"/>
        <w:rPr>
          <w:rFonts w:ascii="Arial" w:hAnsi="Arial" w:cs="Arial"/>
          <w:bCs/>
          <w:sz w:val="24"/>
          <w:lang w:val="es-PR"/>
        </w:rPr>
      </w:pPr>
    </w:p>
    <w:p w:rsidR="00C8412F" w:rsidRPr="00F96B07" w:rsidRDefault="000F27EC" w:rsidP="00F96B07">
      <w:pPr>
        <w:pStyle w:val="BodyText"/>
        <w:numPr>
          <w:ilvl w:val="0"/>
          <w:numId w:val="11"/>
        </w:numPr>
        <w:ind w:left="360"/>
        <w:jc w:val="both"/>
        <w:rPr>
          <w:rFonts w:ascii="Arial" w:hAnsi="Arial" w:cs="Arial"/>
          <w:bCs/>
          <w:sz w:val="24"/>
        </w:rPr>
      </w:pPr>
      <w:r>
        <w:rPr>
          <w:rFonts w:ascii="Arial" w:hAnsi="Arial" w:cs="Arial"/>
          <w:bCs/>
          <w:sz w:val="24"/>
          <w:lang w:val="es-PR"/>
        </w:rPr>
        <w:t xml:space="preserve">Muy respetuosamente alegamos que </w:t>
      </w:r>
      <w:r w:rsidRPr="000F27EC">
        <w:rPr>
          <w:rFonts w:ascii="Arial" w:hAnsi="Arial" w:cs="Arial"/>
          <w:bCs/>
          <w:sz w:val="24"/>
          <w:lang w:val="es-PR"/>
        </w:rPr>
        <w:t xml:space="preserve">el pago del arancel del </w:t>
      </w:r>
      <w:r w:rsidR="00F96B07">
        <w:rPr>
          <w:rFonts w:ascii="Arial" w:hAnsi="Arial" w:cs="Arial"/>
          <w:bCs/>
          <w:sz w:val="24"/>
          <w:lang w:val="es-PR"/>
        </w:rPr>
        <w:t>anterior RRA</w:t>
      </w:r>
      <w:r w:rsidRPr="000F27EC">
        <w:rPr>
          <w:rFonts w:ascii="Arial" w:hAnsi="Arial" w:cs="Arial"/>
          <w:bCs/>
          <w:sz w:val="24"/>
          <w:lang w:val="es-PR"/>
        </w:rPr>
        <w:t xml:space="preserve"> </w:t>
      </w:r>
      <w:r w:rsidRPr="000F27EC">
        <w:rPr>
          <w:rFonts w:ascii="Arial" w:hAnsi="Arial" w:cs="Arial"/>
          <w:bCs/>
          <w:sz w:val="24"/>
          <w:u w:val="single"/>
          <w:lang w:val="es-PR"/>
        </w:rPr>
        <w:t>no</w:t>
      </w:r>
      <w:r w:rsidRPr="000F27EC">
        <w:rPr>
          <w:rFonts w:ascii="Arial" w:hAnsi="Arial" w:cs="Arial"/>
          <w:bCs/>
          <w:sz w:val="24"/>
          <w:lang w:val="es-PR"/>
        </w:rPr>
        <w:t xml:space="preserve"> “fue procesado </w:t>
      </w:r>
      <w:r w:rsidRPr="000F27EC">
        <w:rPr>
          <w:rFonts w:ascii="Arial" w:hAnsi="Arial" w:cs="Arial"/>
          <w:bCs/>
          <w:sz w:val="24"/>
          <w:u w:val="single"/>
          <w:lang w:val="es-PR"/>
        </w:rPr>
        <w:t xml:space="preserve">a las </w:t>
      </w:r>
      <w:r w:rsidRPr="000F27EC">
        <w:rPr>
          <w:rFonts w:ascii="Arial" w:hAnsi="Arial" w:cs="Arial"/>
          <w:b/>
          <w:bCs/>
          <w:sz w:val="24"/>
          <w:u w:val="single"/>
          <w:lang w:val="es-PR"/>
        </w:rPr>
        <w:t>12:00 a.m. del día siguiente, 22 de junio de 2022</w:t>
      </w:r>
      <w:r w:rsidRPr="000F27EC">
        <w:rPr>
          <w:rFonts w:ascii="Arial" w:hAnsi="Arial" w:cs="Arial"/>
          <w:bCs/>
          <w:sz w:val="24"/>
          <w:lang w:val="es-PR"/>
        </w:rPr>
        <w:t xml:space="preserve">” </w:t>
      </w:r>
      <w:r w:rsidRPr="000F27EC">
        <w:rPr>
          <w:rFonts w:ascii="Arial" w:hAnsi="Arial" w:cs="Arial"/>
          <w:bCs/>
          <w:sz w:val="24"/>
          <w:vertAlign w:val="superscript"/>
          <w:lang w:val="es-PR"/>
        </w:rPr>
        <w:footnoteReference w:id="41"/>
      </w:r>
      <w:r w:rsidRPr="000F27EC">
        <w:rPr>
          <w:rFonts w:ascii="Arial" w:hAnsi="Arial" w:cs="Arial"/>
          <w:bCs/>
          <w:sz w:val="24"/>
          <w:lang w:val="es-PR"/>
        </w:rPr>
        <w:t xml:space="preserve">; sino que, precisamente, a las 12:00 a.m. fue </w:t>
      </w:r>
      <w:r w:rsidRPr="000F27EC">
        <w:rPr>
          <w:rFonts w:ascii="Arial" w:hAnsi="Arial" w:cs="Arial"/>
          <w:b/>
          <w:bCs/>
          <w:sz w:val="24"/>
          <w:u w:val="single"/>
          <w:lang w:val="es-PR"/>
        </w:rPr>
        <w:t>notificado</w:t>
      </w:r>
      <w:r w:rsidRPr="000F27EC">
        <w:rPr>
          <w:rFonts w:ascii="Arial" w:hAnsi="Arial" w:cs="Arial"/>
          <w:b/>
          <w:bCs/>
          <w:sz w:val="24"/>
          <w:lang w:val="es-PR"/>
        </w:rPr>
        <w:t xml:space="preserve"> el </w:t>
      </w:r>
      <w:r w:rsidRPr="000F27EC">
        <w:rPr>
          <w:rFonts w:ascii="Arial" w:hAnsi="Arial" w:cs="Arial"/>
          <w:b/>
          <w:bCs/>
          <w:sz w:val="24"/>
          <w:u w:val="single"/>
          <w:lang w:val="es-PR"/>
        </w:rPr>
        <w:t>procesamiento</w:t>
      </w:r>
      <w:r w:rsidRPr="000F27EC">
        <w:rPr>
          <w:rFonts w:ascii="Arial" w:hAnsi="Arial" w:cs="Arial"/>
          <w:bCs/>
          <w:sz w:val="24"/>
          <w:u w:val="single"/>
          <w:lang w:val="es-PR"/>
        </w:rPr>
        <w:t xml:space="preserve"> </w:t>
      </w:r>
      <w:r w:rsidRPr="000F27EC">
        <w:rPr>
          <w:rFonts w:ascii="Arial" w:hAnsi="Arial" w:cs="Arial"/>
          <w:bCs/>
          <w:i/>
          <w:sz w:val="24"/>
          <w:u w:val="single"/>
          <w:lang w:val="es-PR"/>
        </w:rPr>
        <w:t>previo</w:t>
      </w:r>
      <w:r w:rsidRPr="000F27EC">
        <w:rPr>
          <w:rFonts w:ascii="Arial" w:hAnsi="Arial" w:cs="Arial"/>
          <w:bCs/>
          <w:sz w:val="24"/>
          <w:u w:val="single"/>
          <w:lang w:val="es-PR"/>
        </w:rPr>
        <w:t xml:space="preserve"> del pago</w:t>
      </w:r>
      <w:r w:rsidRPr="000F27EC">
        <w:rPr>
          <w:rFonts w:ascii="Arial" w:hAnsi="Arial" w:cs="Arial"/>
          <w:bCs/>
          <w:sz w:val="24"/>
          <w:lang w:val="es-PR"/>
        </w:rPr>
        <w:t xml:space="preserve"> del arancel. Luego cargamos otros documentos al sistema, en el mismo caso</w:t>
      </w:r>
      <w:r w:rsidR="00C8412F">
        <w:rPr>
          <w:rStyle w:val="FootnoteReference"/>
          <w:rFonts w:ascii="Arial" w:hAnsi="Arial" w:cs="Arial"/>
          <w:bCs/>
          <w:iCs/>
          <w:sz w:val="24"/>
          <w:lang w:val="es-PR"/>
        </w:rPr>
        <w:footnoteReference w:id="42"/>
      </w:r>
      <w:r w:rsidRPr="000F27EC">
        <w:rPr>
          <w:rFonts w:ascii="Arial" w:hAnsi="Arial" w:cs="Arial"/>
          <w:bCs/>
          <w:sz w:val="24"/>
          <w:lang w:val="es-PR"/>
        </w:rPr>
        <w:t>.</w:t>
      </w:r>
    </w:p>
    <w:p w:rsidR="000F27EC" w:rsidRPr="00C8412F" w:rsidRDefault="00C8412F" w:rsidP="00D625D0">
      <w:pPr>
        <w:pStyle w:val="BodyText"/>
        <w:numPr>
          <w:ilvl w:val="0"/>
          <w:numId w:val="11"/>
        </w:numPr>
        <w:ind w:left="360"/>
        <w:jc w:val="both"/>
        <w:rPr>
          <w:rFonts w:ascii="Arial" w:hAnsi="Arial" w:cs="Arial"/>
          <w:bCs/>
          <w:sz w:val="24"/>
        </w:rPr>
      </w:pPr>
      <w:r>
        <w:rPr>
          <w:rFonts w:ascii="Arial" w:hAnsi="Arial" w:cs="Arial"/>
          <w:bCs/>
          <w:iCs/>
          <w:sz w:val="24"/>
          <w:lang w:val="es-PR"/>
        </w:rPr>
        <w:t>E</w:t>
      </w:r>
      <w:r w:rsidRPr="00C8412F">
        <w:rPr>
          <w:rFonts w:ascii="Arial" w:hAnsi="Arial" w:cs="Arial"/>
          <w:bCs/>
          <w:iCs/>
          <w:sz w:val="24"/>
          <w:lang w:val="es-PR"/>
        </w:rPr>
        <w:t xml:space="preserve">l día 6 de julio de 2022, notificado su archivo en autos el mismo día, la DRA-OGPe emitió su </w:t>
      </w:r>
      <w:r w:rsidRPr="00C8412F">
        <w:rPr>
          <w:rFonts w:ascii="Arial" w:hAnsi="Arial" w:cs="Arial"/>
          <w:bCs/>
          <w:i/>
          <w:iCs/>
          <w:sz w:val="24"/>
          <w:lang w:val="es-PR"/>
        </w:rPr>
        <w:t>Notificación No Acogiendo Solicitud de Revisión Administrativa</w:t>
      </w:r>
      <w:r w:rsidRPr="00C8412F">
        <w:rPr>
          <w:rFonts w:ascii="Arial" w:hAnsi="Arial" w:cs="Arial"/>
          <w:bCs/>
          <w:iCs/>
          <w:sz w:val="24"/>
          <w:vertAlign w:val="superscript"/>
          <w:lang w:val="es-PR"/>
        </w:rPr>
        <w:footnoteReference w:id="43"/>
      </w:r>
      <w:r w:rsidRPr="00C8412F">
        <w:rPr>
          <w:rFonts w:ascii="Arial" w:hAnsi="Arial" w:cs="Arial"/>
          <w:bCs/>
          <w:iCs/>
          <w:sz w:val="24"/>
          <w:lang w:val="es-PR"/>
        </w:rPr>
        <w:t xml:space="preserve">. En la misma determina la DRA-OGPe que “[l]a revisión administrativa fue presentada fuera del término jurisdiccional de veinte (20) días establecido. La determinación objeto de revisión fue emitida el 31 de mayo de 2022, y el recurso de revisión administrativa fue presentado el 22 de junio de 2022.”. Nada dice sobre en qué fecha fue notificado el permiso otorgado el 31 de mayo de 2022 </w:t>
      </w:r>
      <w:r w:rsidRPr="00C8412F">
        <w:rPr>
          <w:rFonts w:ascii="Arial" w:hAnsi="Arial" w:cs="Arial"/>
          <w:bCs/>
          <w:iCs/>
          <w:sz w:val="24"/>
          <w:vertAlign w:val="superscript"/>
          <w:lang w:val="es-PR"/>
        </w:rPr>
        <w:footnoteReference w:id="44"/>
      </w:r>
      <w:r w:rsidRPr="00C8412F">
        <w:rPr>
          <w:rFonts w:ascii="Arial" w:hAnsi="Arial" w:cs="Arial"/>
          <w:bCs/>
          <w:iCs/>
          <w:sz w:val="24"/>
          <w:lang w:val="es-PR"/>
        </w:rPr>
        <w:t>.</w:t>
      </w:r>
    </w:p>
    <w:p w:rsidR="00C8412F" w:rsidRPr="00C8412F" w:rsidRDefault="00C8412F" w:rsidP="00D625D0">
      <w:pPr>
        <w:pStyle w:val="BodyText"/>
        <w:numPr>
          <w:ilvl w:val="0"/>
          <w:numId w:val="11"/>
        </w:numPr>
        <w:ind w:left="360"/>
        <w:jc w:val="both"/>
        <w:rPr>
          <w:rFonts w:ascii="Arial" w:hAnsi="Arial" w:cs="Arial"/>
          <w:bCs/>
          <w:sz w:val="24"/>
        </w:rPr>
      </w:pPr>
      <w:r w:rsidRPr="00C8412F">
        <w:rPr>
          <w:rFonts w:ascii="Arial" w:hAnsi="Arial" w:cs="Arial"/>
          <w:bCs/>
          <w:iCs/>
          <w:sz w:val="24"/>
          <w:lang w:val="es-PR"/>
        </w:rPr>
        <w:t xml:space="preserve">De esta determinación esta PARTE presentó ante la agencia su </w:t>
      </w:r>
      <w:r w:rsidRPr="00C8412F">
        <w:rPr>
          <w:rFonts w:ascii="Arial" w:hAnsi="Arial" w:cs="Arial"/>
          <w:bCs/>
          <w:i/>
          <w:iCs/>
          <w:sz w:val="24"/>
          <w:lang w:val="es-PR"/>
        </w:rPr>
        <w:t xml:space="preserve">Solicitud Urgente de Paralización de Obras y de Reconsideración, </w:t>
      </w:r>
      <w:r w:rsidRPr="00C8412F">
        <w:rPr>
          <w:rFonts w:ascii="Arial" w:hAnsi="Arial" w:cs="Arial"/>
          <w:bCs/>
          <w:iCs/>
          <w:sz w:val="24"/>
          <w:lang w:val="es-PR"/>
        </w:rPr>
        <w:t xml:space="preserve">al Director Ejecutivo de la OGPe, el día 11 de julio de 2022 </w:t>
      </w:r>
      <w:r w:rsidRPr="00C8412F">
        <w:rPr>
          <w:rFonts w:ascii="Arial" w:hAnsi="Arial" w:cs="Arial"/>
          <w:bCs/>
          <w:iCs/>
          <w:sz w:val="24"/>
          <w:vertAlign w:val="superscript"/>
          <w:lang w:val="es-PR"/>
        </w:rPr>
        <w:footnoteReference w:id="45"/>
      </w:r>
      <w:r w:rsidRPr="00C8412F">
        <w:rPr>
          <w:rFonts w:ascii="Arial" w:hAnsi="Arial" w:cs="Arial"/>
          <w:bCs/>
          <w:iCs/>
          <w:sz w:val="24"/>
          <w:lang w:val="es-PR"/>
        </w:rPr>
        <w:t>, en la que alertamos sobre inicio de remoción de corteza terrestre y obras de construcción en la finca donde se había autorizado el permiso, sin que el mismo fuese todavía final y firme</w:t>
      </w:r>
      <w:r w:rsidRPr="00C8412F">
        <w:rPr>
          <w:rFonts w:ascii="Arial" w:hAnsi="Arial" w:cs="Arial"/>
          <w:bCs/>
          <w:iCs/>
          <w:sz w:val="24"/>
          <w:vertAlign w:val="superscript"/>
          <w:lang w:val="es-PR"/>
        </w:rPr>
        <w:footnoteReference w:id="46"/>
      </w:r>
      <w:r w:rsidRPr="00C8412F">
        <w:rPr>
          <w:rFonts w:ascii="Arial" w:hAnsi="Arial" w:cs="Arial"/>
          <w:bCs/>
          <w:iCs/>
          <w:sz w:val="24"/>
          <w:lang w:val="es-PR"/>
        </w:rPr>
        <w:t xml:space="preserve">, ergo no ejecutable. También, impugnamos la decisión de no acoger el recurso con alegaciones en derecho, para justificar que la DRA-OGPe podía acoger el recurso. </w:t>
      </w:r>
    </w:p>
    <w:p w:rsidR="00C8412F" w:rsidRPr="00F96B07" w:rsidRDefault="00C8412F" w:rsidP="00D625D0">
      <w:pPr>
        <w:pStyle w:val="BodyText"/>
        <w:numPr>
          <w:ilvl w:val="0"/>
          <w:numId w:val="11"/>
        </w:numPr>
        <w:ind w:left="360"/>
        <w:jc w:val="both"/>
        <w:rPr>
          <w:rFonts w:ascii="Arial" w:hAnsi="Arial" w:cs="Arial"/>
          <w:bCs/>
          <w:sz w:val="24"/>
        </w:rPr>
      </w:pPr>
      <w:r w:rsidRPr="00C8412F">
        <w:rPr>
          <w:rFonts w:ascii="Arial" w:hAnsi="Arial" w:cs="Arial"/>
          <w:bCs/>
          <w:iCs/>
          <w:sz w:val="24"/>
          <w:lang w:val="es-PR"/>
        </w:rPr>
        <w:t>Ya</w:t>
      </w:r>
      <w:r w:rsidR="00F96B07">
        <w:rPr>
          <w:rFonts w:ascii="Arial" w:hAnsi="Arial" w:cs="Arial"/>
          <w:bCs/>
          <w:iCs/>
          <w:sz w:val="24"/>
          <w:lang w:val="es-PR"/>
        </w:rPr>
        <w:t xml:space="preserve"> para la fecha de la denegatoria de la DRA-OGPe</w:t>
      </w:r>
      <w:r w:rsidRPr="00C8412F">
        <w:rPr>
          <w:rFonts w:ascii="Arial" w:hAnsi="Arial" w:cs="Arial"/>
          <w:bCs/>
          <w:iCs/>
          <w:sz w:val="24"/>
          <w:lang w:val="es-PR"/>
        </w:rPr>
        <w:t xml:space="preserve"> los RECURRENTES habían contratado con un arqueólogo, el Sr. Torres Albelo, para para un informe pericial, </w:t>
      </w:r>
      <w:r w:rsidR="00F96B07">
        <w:rPr>
          <w:rFonts w:ascii="Arial" w:hAnsi="Arial" w:cs="Arial"/>
          <w:bCs/>
          <w:iCs/>
          <w:sz w:val="24"/>
          <w:lang w:val="es-PR"/>
        </w:rPr>
        <w:t xml:space="preserve">para dicho proceso y </w:t>
      </w:r>
      <w:r w:rsidRPr="00C8412F">
        <w:rPr>
          <w:rFonts w:ascii="Arial" w:hAnsi="Arial" w:cs="Arial"/>
          <w:bCs/>
          <w:iCs/>
          <w:sz w:val="24"/>
          <w:lang w:val="es-PR"/>
        </w:rPr>
        <w:t xml:space="preserve">que </w:t>
      </w:r>
      <w:r w:rsidR="00F96B07">
        <w:rPr>
          <w:rFonts w:ascii="Arial" w:hAnsi="Arial" w:cs="Arial"/>
          <w:bCs/>
          <w:iCs/>
          <w:sz w:val="24"/>
          <w:lang w:val="es-PR"/>
        </w:rPr>
        <w:t>ya estaba bastante adelantado para esa fecha</w:t>
      </w:r>
      <w:r w:rsidRPr="00C8412F">
        <w:rPr>
          <w:rFonts w:ascii="Arial" w:hAnsi="Arial" w:cs="Arial"/>
          <w:bCs/>
          <w:iCs/>
          <w:sz w:val="24"/>
          <w:vertAlign w:val="superscript"/>
          <w:lang w:val="es-PR"/>
        </w:rPr>
        <w:footnoteReference w:id="47"/>
      </w:r>
      <w:r w:rsidRPr="00C8412F">
        <w:rPr>
          <w:rFonts w:ascii="Arial" w:hAnsi="Arial" w:cs="Arial"/>
          <w:bCs/>
          <w:iCs/>
          <w:sz w:val="24"/>
          <w:lang w:val="es-PR"/>
        </w:rPr>
        <w:t>.</w:t>
      </w:r>
    </w:p>
    <w:p w:rsidR="00F96B07" w:rsidRPr="00F96B07" w:rsidRDefault="00F96B07" w:rsidP="00D625D0">
      <w:pPr>
        <w:pStyle w:val="BodyText"/>
        <w:numPr>
          <w:ilvl w:val="0"/>
          <w:numId w:val="11"/>
        </w:numPr>
        <w:ind w:left="360"/>
        <w:jc w:val="both"/>
        <w:rPr>
          <w:rFonts w:ascii="Arial" w:hAnsi="Arial" w:cs="Arial"/>
          <w:bCs/>
          <w:sz w:val="24"/>
        </w:rPr>
      </w:pPr>
      <w:r w:rsidRPr="00F96B07">
        <w:rPr>
          <w:rFonts w:ascii="Arial" w:hAnsi="Arial" w:cs="Arial"/>
          <w:bCs/>
          <w:iCs/>
          <w:sz w:val="24"/>
          <w:lang w:val="es-PR"/>
        </w:rPr>
        <w:t xml:space="preserve">La anterior solicitud urgente al Director Ejecutivo de la OGPe no fue atendida </w:t>
      </w:r>
      <w:r>
        <w:rPr>
          <w:rFonts w:ascii="Arial" w:hAnsi="Arial" w:cs="Arial"/>
          <w:bCs/>
          <w:iCs/>
          <w:sz w:val="24"/>
          <w:lang w:val="es-PR"/>
        </w:rPr>
        <w:t>antes que se vencieran los treinta (30) días de la notificación no acogiendo recurso de la DRA-OGPe, por lo que el día 5 de agosto de 2022 esta PARTE RECURRENTE presentó el RRJ ante el Hon. Tribunal de Apelaciones</w:t>
      </w:r>
      <w:r w:rsidR="00D0056A">
        <w:rPr>
          <w:rFonts w:ascii="Arial" w:hAnsi="Arial" w:cs="Arial"/>
          <w:bCs/>
          <w:iCs/>
          <w:sz w:val="24"/>
          <w:lang w:val="es-PR"/>
        </w:rPr>
        <w:t>, contando con el informe pericial del arqueólogo</w:t>
      </w:r>
      <w:r>
        <w:rPr>
          <w:rStyle w:val="FootnoteReference"/>
          <w:rFonts w:ascii="Arial" w:hAnsi="Arial" w:cs="Arial"/>
          <w:bCs/>
          <w:iCs/>
          <w:sz w:val="24"/>
          <w:lang w:val="es-PR"/>
        </w:rPr>
        <w:footnoteReference w:id="48"/>
      </w:r>
      <w:r>
        <w:rPr>
          <w:rFonts w:ascii="Arial" w:hAnsi="Arial" w:cs="Arial"/>
          <w:bCs/>
          <w:iCs/>
          <w:sz w:val="24"/>
          <w:lang w:val="es-PR"/>
        </w:rPr>
        <w:t>.</w:t>
      </w:r>
    </w:p>
    <w:p w:rsidR="00F96B07" w:rsidRPr="00431E1F" w:rsidRDefault="00431E1F" w:rsidP="00D625D0">
      <w:pPr>
        <w:pStyle w:val="BodyText"/>
        <w:numPr>
          <w:ilvl w:val="0"/>
          <w:numId w:val="11"/>
        </w:numPr>
        <w:ind w:left="360"/>
        <w:jc w:val="both"/>
        <w:rPr>
          <w:rFonts w:ascii="Arial" w:hAnsi="Arial" w:cs="Arial"/>
          <w:bCs/>
          <w:sz w:val="24"/>
        </w:rPr>
      </w:pPr>
      <w:r>
        <w:rPr>
          <w:rFonts w:ascii="Arial" w:hAnsi="Arial" w:cs="Arial"/>
          <w:bCs/>
          <w:iCs/>
          <w:sz w:val="24"/>
          <w:lang w:val="es-PR"/>
        </w:rPr>
        <w:t>En el anterior RRJ esta PARTE PETICIONARIA, luego de exponer brevemente los anteriores hechos</w:t>
      </w:r>
      <w:r w:rsidR="00D0056A">
        <w:rPr>
          <w:rFonts w:ascii="Arial" w:hAnsi="Arial" w:cs="Arial"/>
          <w:bCs/>
          <w:iCs/>
          <w:sz w:val="24"/>
          <w:lang w:val="es-PR"/>
        </w:rPr>
        <w:t xml:space="preserve"> y los hallazgos del arqueólogo</w:t>
      </w:r>
      <w:r>
        <w:rPr>
          <w:rFonts w:ascii="Arial" w:hAnsi="Arial" w:cs="Arial"/>
          <w:bCs/>
          <w:iCs/>
          <w:sz w:val="24"/>
          <w:lang w:val="es-PR"/>
        </w:rPr>
        <w:t>, señaló los siguientes errores a la OGPe y la DRA-OGPe:</w:t>
      </w:r>
    </w:p>
    <w:p w:rsidR="00431E1F" w:rsidRPr="00431E1F" w:rsidRDefault="00431E1F" w:rsidP="00431E1F">
      <w:pPr>
        <w:pStyle w:val="ListParagraph"/>
        <w:spacing w:after="0" w:line="240" w:lineRule="auto"/>
        <w:ind w:right="360"/>
        <w:jc w:val="both"/>
        <w:rPr>
          <w:rFonts w:ascii="Arial" w:hAnsi="Arial" w:cs="Arial"/>
          <w:b/>
          <w:bCs/>
          <w:caps/>
          <w:sz w:val="20"/>
          <w:szCs w:val="24"/>
        </w:rPr>
      </w:pPr>
      <w:r w:rsidRPr="00431E1F">
        <w:rPr>
          <w:rFonts w:ascii="Arial" w:hAnsi="Arial" w:cs="Arial"/>
          <w:b/>
          <w:bCs/>
          <w:caps/>
          <w:sz w:val="20"/>
          <w:szCs w:val="24"/>
          <w:u w:val="single"/>
        </w:rPr>
        <w:t>PRIMER SEñALAMIENTO</w:t>
      </w:r>
      <w:r w:rsidRPr="00431E1F">
        <w:rPr>
          <w:rFonts w:ascii="Arial" w:hAnsi="Arial" w:cs="Arial"/>
          <w:b/>
          <w:bCs/>
          <w:caps/>
          <w:sz w:val="20"/>
          <w:szCs w:val="24"/>
        </w:rPr>
        <w:t xml:space="preserve">: ERRÓ LA OGPE AL APROBAR EL PERMISO DE CONSTRUCCIÓN DE UNA TORRE DE TELECOMUNICACIONES EN TERRENOS CLASIFICADOS COMO SUSCEPTIBLES A DESLIZAMIENTOS, a pesar de la prohibiciÓn legal para ello Y QUE ESTE TIPO DE CONSTRUCCIÓN AUMENTARÍA DICHA SUSCEPTIBILIDAD, PONIENDO EN MAYOR PELIGRO A LOS RECURRENTES, VECINOS DE LA FINCA DONDE SE APROBÓ EL PERMISO. </w:t>
      </w:r>
    </w:p>
    <w:p w:rsidR="00431E1F" w:rsidRPr="00431E1F" w:rsidRDefault="00431E1F" w:rsidP="00431E1F">
      <w:pPr>
        <w:pStyle w:val="ListParagraph"/>
        <w:spacing w:after="0" w:line="240" w:lineRule="auto"/>
        <w:ind w:right="360"/>
        <w:jc w:val="both"/>
        <w:rPr>
          <w:rFonts w:ascii="Arial" w:hAnsi="Arial" w:cs="Arial"/>
          <w:b/>
          <w:bCs/>
          <w:caps/>
          <w:sz w:val="20"/>
          <w:szCs w:val="24"/>
        </w:rPr>
      </w:pPr>
    </w:p>
    <w:p w:rsidR="00431E1F" w:rsidRPr="00431E1F" w:rsidRDefault="00431E1F" w:rsidP="00431E1F">
      <w:pPr>
        <w:pStyle w:val="ListParagraph"/>
        <w:spacing w:after="0" w:line="240" w:lineRule="auto"/>
        <w:ind w:right="360"/>
        <w:jc w:val="both"/>
        <w:rPr>
          <w:rFonts w:ascii="Arial" w:hAnsi="Arial" w:cs="Arial"/>
          <w:b/>
          <w:bCs/>
          <w:caps/>
          <w:sz w:val="20"/>
          <w:szCs w:val="24"/>
        </w:rPr>
      </w:pPr>
      <w:r w:rsidRPr="00431E1F">
        <w:rPr>
          <w:rFonts w:ascii="Arial" w:hAnsi="Arial" w:cs="Arial"/>
          <w:b/>
          <w:bCs/>
          <w:caps/>
          <w:sz w:val="20"/>
          <w:szCs w:val="24"/>
          <w:u w:val="single"/>
        </w:rPr>
        <w:t>SEGUNDO SEÑALAMIENTO</w:t>
      </w:r>
      <w:r w:rsidRPr="00431E1F">
        <w:rPr>
          <w:rFonts w:ascii="Arial" w:hAnsi="Arial" w:cs="Arial"/>
          <w:b/>
          <w:bCs/>
          <w:caps/>
          <w:sz w:val="20"/>
          <w:szCs w:val="24"/>
        </w:rPr>
        <w:t xml:space="preserve">: ERRÓ LA OGPE AL APROBAR EL PERMISO DE CONSTRUCCIÓN sin la celebraciÓn de una consulta de ubicaciÓn ni un </w:t>
      </w:r>
      <w:r w:rsidRPr="00431E1F">
        <w:rPr>
          <w:rFonts w:ascii="Arial" w:hAnsi="Arial" w:cs="Arial"/>
          <w:b/>
          <w:bCs/>
          <w:i/>
          <w:caps/>
          <w:sz w:val="20"/>
          <w:szCs w:val="24"/>
        </w:rPr>
        <w:t>nepa-like process</w:t>
      </w:r>
      <w:r w:rsidRPr="00431E1F">
        <w:rPr>
          <w:rFonts w:ascii="Arial" w:hAnsi="Arial" w:cs="Arial"/>
          <w:b/>
          <w:bCs/>
          <w:caps/>
          <w:sz w:val="20"/>
          <w:szCs w:val="24"/>
        </w:rPr>
        <w:t xml:space="preserve"> CUANDO SE PROPUSO LA CONSTRUCCIÓN PARA UN LUGAR PROHIBIDO, POR SE SUSCEPTIBLE DE DESLIZAMIENTOS, QUE TAMBIÉN ES UN LUGAR PROTEGIDO CON UNA CLASIFICACIÓN DE SUELO ESPECIAL, POR HABER ESPECIES PROTEGIDAS Y EN PELIGRO DE EXTINCIÓN EN EL ÁREA Y EXISTIR SITIOS HISTÓRICO RECONOCIDOS Y OTROS SITIOS POTENCIALMENTE ELEGIBLES PARA SER SITIOS HISTÓRICOS.</w:t>
      </w:r>
    </w:p>
    <w:p w:rsidR="00431E1F" w:rsidRPr="00431E1F" w:rsidRDefault="00431E1F" w:rsidP="00431E1F">
      <w:pPr>
        <w:pStyle w:val="ListParagraph"/>
        <w:spacing w:after="0" w:line="240" w:lineRule="auto"/>
        <w:ind w:right="360"/>
        <w:jc w:val="both"/>
        <w:rPr>
          <w:rFonts w:ascii="Arial" w:hAnsi="Arial" w:cs="Arial"/>
          <w:b/>
          <w:bCs/>
          <w:caps/>
          <w:sz w:val="20"/>
          <w:szCs w:val="24"/>
        </w:rPr>
      </w:pPr>
    </w:p>
    <w:p w:rsidR="00431E1F" w:rsidRPr="00431E1F" w:rsidRDefault="00431E1F" w:rsidP="00431E1F">
      <w:pPr>
        <w:pStyle w:val="ListParagraph"/>
        <w:spacing w:after="0" w:line="240" w:lineRule="auto"/>
        <w:ind w:right="360"/>
        <w:jc w:val="both"/>
        <w:rPr>
          <w:rFonts w:ascii="Arial" w:hAnsi="Arial" w:cs="Arial"/>
          <w:b/>
          <w:bCs/>
          <w:caps/>
          <w:sz w:val="20"/>
          <w:szCs w:val="24"/>
        </w:rPr>
      </w:pPr>
      <w:r w:rsidRPr="00431E1F">
        <w:rPr>
          <w:rFonts w:ascii="Arial" w:hAnsi="Arial" w:cs="Arial"/>
          <w:b/>
          <w:bCs/>
          <w:caps/>
          <w:sz w:val="20"/>
          <w:szCs w:val="24"/>
          <w:u w:val="single"/>
        </w:rPr>
        <w:t>TERCER SEÑALAMIENTO</w:t>
      </w:r>
      <w:r w:rsidRPr="00431E1F">
        <w:rPr>
          <w:rFonts w:ascii="Arial" w:hAnsi="Arial" w:cs="Arial"/>
          <w:b/>
          <w:bCs/>
          <w:caps/>
          <w:sz w:val="20"/>
          <w:szCs w:val="24"/>
        </w:rPr>
        <w:t>: ERRÓ LA OGPE AL APROBAR EL PERMISO DE CONSTRUCCIÓN SIN DETERMINACIONES DE HECHOS NI CONCLUSIONES DE DERECHO Y NO HABER SIDO APROBADA POR LA JUNTA ADJUDICATIVA DE LA OGPE, PORQUE ESTE TIPO DE PERMISOS ES UNO DISCRECIONAL Y ERA DEBIDO, según EL DEBIDO PROCESO.</w:t>
      </w:r>
    </w:p>
    <w:p w:rsidR="00431E1F" w:rsidRPr="00431E1F" w:rsidRDefault="00431E1F" w:rsidP="00431E1F">
      <w:pPr>
        <w:pStyle w:val="ListParagraph"/>
        <w:spacing w:after="0" w:line="240" w:lineRule="auto"/>
        <w:ind w:right="360"/>
        <w:jc w:val="both"/>
        <w:rPr>
          <w:rFonts w:ascii="Arial" w:hAnsi="Arial" w:cs="Arial"/>
          <w:b/>
          <w:bCs/>
          <w:caps/>
          <w:sz w:val="20"/>
          <w:szCs w:val="24"/>
        </w:rPr>
      </w:pPr>
    </w:p>
    <w:p w:rsidR="00431E1F" w:rsidRDefault="00431E1F" w:rsidP="00431E1F">
      <w:pPr>
        <w:pStyle w:val="ListParagraph"/>
        <w:spacing w:after="0" w:line="240" w:lineRule="auto"/>
        <w:ind w:right="360"/>
        <w:jc w:val="both"/>
        <w:rPr>
          <w:rFonts w:ascii="Arial" w:hAnsi="Arial" w:cs="Arial"/>
          <w:b/>
          <w:bCs/>
          <w:caps/>
          <w:sz w:val="24"/>
          <w:szCs w:val="24"/>
        </w:rPr>
      </w:pPr>
      <w:r w:rsidRPr="00431E1F">
        <w:rPr>
          <w:rFonts w:ascii="Arial" w:hAnsi="Arial" w:cs="Arial"/>
          <w:b/>
          <w:bCs/>
          <w:caps/>
          <w:sz w:val="20"/>
          <w:szCs w:val="24"/>
          <w:u w:val="single"/>
        </w:rPr>
        <w:t>CUARTO SEÑALAMIENTO</w:t>
      </w:r>
      <w:r w:rsidRPr="00431E1F">
        <w:rPr>
          <w:rFonts w:ascii="Arial" w:hAnsi="Arial" w:cs="Arial"/>
          <w:b/>
          <w:bCs/>
          <w:caps/>
          <w:sz w:val="20"/>
          <w:szCs w:val="24"/>
        </w:rPr>
        <w:t>: ERRÓ LA DRA-OGPE, ABUSANDO DE SU DISCRECIÓN, AL NO ACOGER LA SOLICITUD DE REVISIÓN ADMINISTRATIVA CUANDO SU FUNCIÓN REVISORA EN ESTOS CASOS ES SU DEBER ESTATUTARIO Y EN LA SOLICITUD SE PRESENTAN CIRCUNSTANCIAS APREMIANTES, DE SU FAZ, QUE, RAZONABLEMENTE, AMERITABAN ANTENDER EL RECURSO, SOBRE TODO PORQUE NO ES APLICABLE A ESTE CASO LA FUNDAMENTACIÓN PARA LA DENEGATORIA, según NUESTRO DERECHO VIGENTE, PORQUE SE PRESENTÓ EN TéRMINO EL RECURSO Y PORQUE EL TÉRMINO JURISDICCIONAL NO APLICA A LA SITUACIÓN FÁCTICA DE MARRAS.</w:t>
      </w:r>
    </w:p>
    <w:p w:rsidR="00431E1F" w:rsidRPr="00431E1F" w:rsidRDefault="00431E1F" w:rsidP="00431E1F">
      <w:pPr>
        <w:pStyle w:val="ListParagraph"/>
        <w:spacing w:after="0" w:line="240" w:lineRule="auto"/>
        <w:ind w:left="0"/>
        <w:jc w:val="both"/>
        <w:rPr>
          <w:rFonts w:ascii="Arial" w:hAnsi="Arial" w:cs="Arial"/>
          <w:b/>
          <w:bCs/>
          <w:caps/>
          <w:sz w:val="24"/>
          <w:szCs w:val="24"/>
        </w:rPr>
      </w:pPr>
    </w:p>
    <w:p w:rsidR="00431E1F" w:rsidRPr="00F15A4B" w:rsidRDefault="006E19FF" w:rsidP="00D625D0">
      <w:pPr>
        <w:pStyle w:val="BodyText"/>
        <w:numPr>
          <w:ilvl w:val="0"/>
          <w:numId w:val="11"/>
        </w:numPr>
        <w:ind w:left="360"/>
        <w:jc w:val="both"/>
        <w:rPr>
          <w:rFonts w:ascii="Arial" w:hAnsi="Arial" w:cs="Arial"/>
          <w:bCs/>
          <w:sz w:val="24"/>
        </w:rPr>
      </w:pPr>
      <w:r>
        <w:rPr>
          <w:rFonts w:ascii="Arial" w:hAnsi="Arial" w:cs="Arial"/>
          <w:bCs/>
          <w:iCs/>
          <w:sz w:val="24"/>
        </w:rPr>
        <w:t xml:space="preserve">Es entonces que QMC presenta su primer escrito en el proceso, el día 10 de agosto de 2022, solicitando la desestimación del recurso bajo los mismos fundamentos </w:t>
      </w:r>
      <w:r w:rsidR="00023006">
        <w:rPr>
          <w:rFonts w:ascii="Arial" w:hAnsi="Arial" w:cs="Arial"/>
          <w:bCs/>
          <w:iCs/>
          <w:sz w:val="24"/>
        </w:rPr>
        <w:t>de vencimiento del término jurisdiccional para presentar el recurso</w:t>
      </w:r>
      <w:r w:rsidR="00C16C9A">
        <w:rPr>
          <w:rFonts w:ascii="Arial" w:hAnsi="Arial" w:cs="Arial"/>
          <w:bCs/>
          <w:iCs/>
          <w:sz w:val="24"/>
        </w:rPr>
        <w:t xml:space="preserve"> ante la DRA-OGPe (de 20 días desde la expedición del permiso) y que el término para recurrir al Hon. TA había vencido también (alegando que era de 30 días desde la expedición del permiso)</w:t>
      </w:r>
      <w:r w:rsidR="003161EB">
        <w:rPr>
          <w:rFonts w:ascii="Arial" w:hAnsi="Arial" w:cs="Arial"/>
          <w:bCs/>
          <w:iCs/>
          <w:sz w:val="24"/>
        </w:rPr>
        <w:t>, por lo que el Hon. TA no tenía jurisdicción sobre el RRJ</w:t>
      </w:r>
      <w:r w:rsidR="00023006">
        <w:rPr>
          <w:rStyle w:val="FootnoteReference"/>
          <w:rFonts w:ascii="Arial" w:hAnsi="Arial" w:cs="Arial"/>
          <w:bCs/>
          <w:iCs/>
          <w:sz w:val="24"/>
        </w:rPr>
        <w:footnoteReference w:id="49"/>
      </w:r>
      <w:r w:rsidR="00023006">
        <w:rPr>
          <w:rFonts w:ascii="Arial" w:hAnsi="Arial" w:cs="Arial"/>
          <w:bCs/>
          <w:iCs/>
          <w:sz w:val="24"/>
        </w:rPr>
        <w:t xml:space="preserve">. </w:t>
      </w:r>
      <w:r w:rsidR="00C16C9A">
        <w:rPr>
          <w:rFonts w:ascii="Arial" w:hAnsi="Arial" w:cs="Arial"/>
          <w:bCs/>
          <w:iCs/>
          <w:sz w:val="24"/>
        </w:rPr>
        <w:t>A este escrito</w:t>
      </w:r>
      <w:r w:rsidR="00023006">
        <w:rPr>
          <w:rFonts w:ascii="Arial" w:hAnsi="Arial" w:cs="Arial"/>
          <w:bCs/>
          <w:iCs/>
          <w:sz w:val="24"/>
        </w:rPr>
        <w:t xml:space="preserve">, tras la </w:t>
      </w:r>
      <w:r w:rsidR="00023006">
        <w:rPr>
          <w:rFonts w:ascii="Arial" w:hAnsi="Arial" w:cs="Arial"/>
          <w:bCs/>
          <w:i/>
          <w:iCs/>
          <w:sz w:val="24"/>
        </w:rPr>
        <w:t xml:space="preserve">RESOLUCIÓN </w:t>
      </w:r>
      <w:r w:rsidR="00023006">
        <w:rPr>
          <w:rFonts w:ascii="Arial" w:hAnsi="Arial" w:cs="Arial"/>
          <w:bCs/>
          <w:iCs/>
          <w:sz w:val="24"/>
        </w:rPr>
        <w:t>del Hon. TA o</w:t>
      </w:r>
      <w:r w:rsidR="00F15A4B">
        <w:rPr>
          <w:rFonts w:ascii="Arial" w:hAnsi="Arial" w:cs="Arial"/>
          <w:bCs/>
          <w:iCs/>
          <w:sz w:val="24"/>
        </w:rPr>
        <w:t>rdenando a esta PARTE a oponerse,</w:t>
      </w:r>
      <w:r w:rsidR="00023006">
        <w:rPr>
          <w:rFonts w:ascii="Arial" w:hAnsi="Arial" w:cs="Arial"/>
          <w:bCs/>
          <w:iCs/>
          <w:sz w:val="24"/>
        </w:rPr>
        <w:t xml:space="preserve"> se opuso esta PARTE RECURRENTE mediante </w:t>
      </w:r>
      <w:r w:rsidR="00F15A4B">
        <w:rPr>
          <w:rFonts w:ascii="Arial" w:hAnsi="Arial" w:cs="Arial"/>
          <w:bCs/>
          <w:i/>
          <w:iCs/>
          <w:sz w:val="24"/>
        </w:rPr>
        <w:t>MOCIÓN EN CUMPLIMIENTO DE ORDEN…</w:t>
      </w:r>
      <w:r w:rsidR="00F15A4B">
        <w:rPr>
          <w:rFonts w:ascii="Arial" w:hAnsi="Arial" w:cs="Arial"/>
          <w:bCs/>
          <w:iCs/>
          <w:sz w:val="24"/>
        </w:rPr>
        <w:t xml:space="preserve"> en la que alegamos que el recurso había sido presentado en término y, en la alternativa, que dicho término no aplicaba a los RECURRENTES porque no habían sido partes en el proceso previo a la otorgación del </w:t>
      </w:r>
      <w:r w:rsidR="00F15A4B">
        <w:rPr>
          <w:rFonts w:ascii="Arial" w:hAnsi="Arial" w:cs="Arial"/>
          <w:bCs/>
          <w:i/>
          <w:iCs/>
          <w:sz w:val="24"/>
        </w:rPr>
        <w:t>PERMISO IMPUGNADO</w:t>
      </w:r>
      <w:r w:rsidR="00F15A4B">
        <w:rPr>
          <w:rFonts w:ascii="Arial" w:hAnsi="Arial" w:cs="Arial"/>
          <w:bCs/>
          <w:iCs/>
          <w:sz w:val="24"/>
        </w:rPr>
        <w:t xml:space="preserve">, fundado en lo resuelto por este Hon. Tribunal Supremo en </w:t>
      </w:r>
      <w:r w:rsidR="00F15A4B">
        <w:rPr>
          <w:rFonts w:ascii="Arial" w:hAnsi="Arial" w:cs="Arial"/>
          <w:bCs/>
          <w:iCs/>
          <w:sz w:val="24"/>
          <w:u w:val="single"/>
        </w:rPr>
        <w:t>Asoc. Residentes v Montebello</w:t>
      </w:r>
      <w:r w:rsidR="00F15A4B">
        <w:rPr>
          <w:rFonts w:ascii="Arial" w:hAnsi="Arial" w:cs="Arial"/>
          <w:bCs/>
          <w:iCs/>
          <w:sz w:val="24"/>
        </w:rPr>
        <w:t xml:space="preserve">, </w:t>
      </w:r>
      <w:r w:rsidR="00F15A4B">
        <w:rPr>
          <w:rFonts w:ascii="Arial" w:hAnsi="Arial" w:cs="Arial"/>
          <w:bCs/>
          <w:i/>
          <w:iCs/>
          <w:sz w:val="24"/>
        </w:rPr>
        <w:t>supra</w:t>
      </w:r>
      <w:r w:rsidR="00F15A4B">
        <w:rPr>
          <w:rFonts w:ascii="Arial" w:hAnsi="Arial" w:cs="Arial"/>
          <w:bCs/>
          <w:iCs/>
          <w:sz w:val="24"/>
        </w:rPr>
        <w:t xml:space="preserve">, y su progenie </w:t>
      </w:r>
      <w:r w:rsidR="00F15A4B">
        <w:rPr>
          <w:rStyle w:val="FootnoteReference"/>
          <w:rFonts w:ascii="Arial" w:hAnsi="Arial" w:cs="Arial"/>
          <w:bCs/>
          <w:i/>
          <w:iCs/>
          <w:sz w:val="24"/>
        </w:rPr>
        <w:footnoteReference w:id="50"/>
      </w:r>
      <w:r w:rsidR="00F15A4B">
        <w:rPr>
          <w:rFonts w:ascii="Arial" w:hAnsi="Arial" w:cs="Arial"/>
          <w:bCs/>
          <w:i/>
          <w:iCs/>
          <w:sz w:val="24"/>
        </w:rPr>
        <w:t>.</w:t>
      </w:r>
    </w:p>
    <w:p w:rsidR="00F15A4B" w:rsidRPr="003C0D35" w:rsidRDefault="00F15A4B" w:rsidP="00D625D0">
      <w:pPr>
        <w:pStyle w:val="BodyText"/>
        <w:numPr>
          <w:ilvl w:val="0"/>
          <w:numId w:val="11"/>
        </w:numPr>
        <w:ind w:left="360"/>
        <w:jc w:val="both"/>
        <w:rPr>
          <w:rFonts w:ascii="Arial" w:hAnsi="Arial" w:cs="Arial"/>
          <w:bCs/>
          <w:sz w:val="24"/>
        </w:rPr>
      </w:pPr>
      <w:r>
        <w:rPr>
          <w:rFonts w:ascii="Arial" w:hAnsi="Arial" w:cs="Arial"/>
          <w:bCs/>
          <w:iCs/>
          <w:sz w:val="24"/>
        </w:rPr>
        <w:t>Luego, el día 14 de sep</w:t>
      </w:r>
      <w:r w:rsidR="00C16C9A">
        <w:rPr>
          <w:rFonts w:ascii="Arial" w:hAnsi="Arial" w:cs="Arial"/>
          <w:bCs/>
          <w:iCs/>
          <w:sz w:val="24"/>
        </w:rPr>
        <w:t xml:space="preserve">tiembre de 2022, la OGPe también presentó </w:t>
      </w:r>
      <w:r w:rsidR="00C16C9A">
        <w:rPr>
          <w:rFonts w:ascii="Arial" w:hAnsi="Arial" w:cs="Arial"/>
          <w:bCs/>
          <w:i/>
          <w:iCs/>
          <w:sz w:val="24"/>
        </w:rPr>
        <w:t>SOLICITUD DE DESESTIMACIÓN</w:t>
      </w:r>
      <w:r w:rsidR="00C16C9A">
        <w:rPr>
          <w:rFonts w:ascii="Arial" w:hAnsi="Arial" w:cs="Arial"/>
          <w:bCs/>
          <w:iCs/>
          <w:sz w:val="24"/>
        </w:rPr>
        <w:t xml:space="preserve">, desentendiéndose de las alegaciones de esta PARTE sobre no haber sido parte en el proceso de evaluación y expedición del </w:t>
      </w:r>
      <w:r w:rsidR="00C16C9A">
        <w:rPr>
          <w:rFonts w:ascii="Arial" w:hAnsi="Arial" w:cs="Arial"/>
          <w:bCs/>
          <w:i/>
          <w:iCs/>
          <w:sz w:val="24"/>
        </w:rPr>
        <w:t>PERMISO IMPUGNADO</w:t>
      </w:r>
      <w:r w:rsidR="00C16C9A">
        <w:rPr>
          <w:rFonts w:ascii="Arial" w:hAnsi="Arial" w:cs="Arial"/>
          <w:bCs/>
          <w:iCs/>
          <w:sz w:val="24"/>
        </w:rPr>
        <w:t>, para intimar al Tribunal de Apelaciones a que “la Parte Recurrente plantea… que la radicación tardia del recurso administrativo no debe tomarse en cuenta, puesto que su intención era que el mismo quedara radicado dentro del término jurisdiccional, pero el sistema tardó en procesar el cobro de los derechos de radicación…”</w:t>
      </w:r>
      <w:r w:rsidR="003C0D35">
        <w:rPr>
          <w:rFonts w:ascii="Arial" w:hAnsi="Arial" w:cs="Arial"/>
          <w:bCs/>
          <w:iCs/>
          <w:sz w:val="24"/>
        </w:rPr>
        <w:t>, fundamentando toda su alegación para la desestimación en la importancia del pago de aranceles.</w:t>
      </w:r>
      <w:r w:rsidR="00C16C9A">
        <w:rPr>
          <w:rFonts w:ascii="Arial" w:hAnsi="Arial" w:cs="Arial"/>
          <w:bCs/>
          <w:iCs/>
          <w:sz w:val="24"/>
        </w:rPr>
        <w:t xml:space="preserve"> </w:t>
      </w:r>
      <w:r w:rsidR="00C16C9A">
        <w:rPr>
          <w:rStyle w:val="FootnoteReference"/>
          <w:rFonts w:ascii="Arial" w:hAnsi="Arial" w:cs="Arial"/>
          <w:bCs/>
          <w:iCs/>
          <w:sz w:val="24"/>
        </w:rPr>
        <w:footnoteReference w:id="51"/>
      </w:r>
    </w:p>
    <w:p w:rsidR="003C0D35" w:rsidRPr="003C0D35" w:rsidRDefault="003C0D35" w:rsidP="00D625D0">
      <w:pPr>
        <w:pStyle w:val="BodyText"/>
        <w:numPr>
          <w:ilvl w:val="0"/>
          <w:numId w:val="11"/>
        </w:numPr>
        <w:ind w:left="360"/>
        <w:jc w:val="both"/>
        <w:rPr>
          <w:rFonts w:ascii="Arial" w:hAnsi="Arial" w:cs="Arial"/>
          <w:bCs/>
          <w:sz w:val="24"/>
        </w:rPr>
      </w:pPr>
      <w:r>
        <w:rPr>
          <w:rFonts w:ascii="Arial" w:hAnsi="Arial" w:cs="Arial"/>
          <w:bCs/>
          <w:iCs/>
          <w:sz w:val="24"/>
        </w:rPr>
        <w:t xml:space="preserve">A la anterior </w:t>
      </w:r>
      <w:r>
        <w:rPr>
          <w:rFonts w:ascii="Arial" w:hAnsi="Arial" w:cs="Arial"/>
          <w:bCs/>
          <w:i/>
          <w:iCs/>
          <w:sz w:val="24"/>
        </w:rPr>
        <w:t xml:space="preserve">SOLICITUD… </w:t>
      </w:r>
      <w:r>
        <w:rPr>
          <w:rFonts w:ascii="Arial" w:hAnsi="Arial" w:cs="Arial"/>
          <w:bCs/>
          <w:iCs/>
          <w:sz w:val="24"/>
        </w:rPr>
        <w:t xml:space="preserve">de la OGPe también se opuso esta PARTE mediante </w:t>
      </w:r>
      <w:r>
        <w:rPr>
          <w:rFonts w:ascii="Arial" w:hAnsi="Arial" w:cs="Arial"/>
          <w:bCs/>
          <w:i/>
          <w:iCs/>
          <w:sz w:val="24"/>
        </w:rPr>
        <w:t>OPOSICIÓN A SOLICITUD DE DESESTIMACIÓN DE OGPe</w:t>
      </w:r>
      <w:r>
        <w:rPr>
          <w:rFonts w:ascii="Arial" w:hAnsi="Arial" w:cs="Arial"/>
          <w:bCs/>
          <w:iCs/>
          <w:sz w:val="24"/>
        </w:rPr>
        <w:t xml:space="preserve"> en el que nos circunscribimos a alegar que toda la argumentación y derecho citado por OGPe en su escrito era aplicable a las PARTES, y que los RECURRENTES no habían sido PARTES en el proceso ante la OGPe. </w:t>
      </w:r>
      <w:r>
        <w:rPr>
          <w:rStyle w:val="FootnoteReference"/>
          <w:rFonts w:ascii="Arial" w:hAnsi="Arial" w:cs="Arial"/>
          <w:bCs/>
          <w:iCs/>
          <w:sz w:val="24"/>
        </w:rPr>
        <w:footnoteReference w:id="52"/>
      </w:r>
    </w:p>
    <w:p w:rsidR="000007E5" w:rsidRPr="000007E5" w:rsidRDefault="003C0D35" w:rsidP="000007E5">
      <w:pPr>
        <w:pStyle w:val="BodyText"/>
        <w:numPr>
          <w:ilvl w:val="0"/>
          <w:numId w:val="11"/>
        </w:numPr>
        <w:ind w:left="360"/>
        <w:jc w:val="both"/>
        <w:rPr>
          <w:rFonts w:ascii="Arial" w:hAnsi="Arial" w:cs="Arial"/>
          <w:bCs/>
          <w:iCs/>
          <w:sz w:val="24"/>
        </w:rPr>
      </w:pPr>
      <w:r>
        <w:rPr>
          <w:rFonts w:ascii="Arial" w:hAnsi="Arial" w:cs="Arial"/>
          <w:bCs/>
          <w:iCs/>
          <w:sz w:val="24"/>
        </w:rPr>
        <w:t>Luego, el día</w:t>
      </w:r>
      <w:r w:rsidR="000007E5">
        <w:rPr>
          <w:rFonts w:ascii="Arial" w:hAnsi="Arial" w:cs="Arial"/>
          <w:bCs/>
          <w:iCs/>
          <w:sz w:val="24"/>
        </w:rPr>
        <w:t xml:space="preserve"> 21 de septiembre de 2022,</w:t>
      </w:r>
      <w:r>
        <w:rPr>
          <w:rFonts w:ascii="Arial" w:hAnsi="Arial" w:cs="Arial"/>
          <w:bCs/>
          <w:iCs/>
          <w:sz w:val="24"/>
        </w:rPr>
        <w:t xml:space="preserve"> </w:t>
      </w:r>
      <w:r w:rsidR="000007E5">
        <w:rPr>
          <w:rFonts w:ascii="Arial" w:hAnsi="Arial" w:cs="Arial"/>
          <w:bCs/>
          <w:iCs/>
          <w:sz w:val="24"/>
          <w:lang w:val="es-PR"/>
        </w:rPr>
        <w:t>llegaron</w:t>
      </w:r>
      <w:r w:rsidR="000007E5" w:rsidRPr="000007E5">
        <w:rPr>
          <w:rFonts w:ascii="Arial" w:hAnsi="Arial" w:cs="Arial"/>
          <w:bCs/>
          <w:iCs/>
          <w:sz w:val="24"/>
          <w:lang w:val="es-PR"/>
        </w:rPr>
        <w:t xml:space="preserve"> trabajadores y maquinaria </w:t>
      </w:r>
      <w:r w:rsidR="000007E5">
        <w:rPr>
          <w:rFonts w:ascii="Arial" w:hAnsi="Arial" w:cs="Arial"/>
          <w:bCs/>
          <w:iCs/>
          <w:sz w:val="24"/>
          <w:lang w:val="es-PR"/>
        </w:rPr>
        <w:t xml:space="preserve">a trabajar en la finca para la cual se aprobó el </w:t>
      </w:r>
      <w:r w:rsidR="000007E5" w:rsidRPr="000007E5">
        <w:rPr>
          <w:rFonts w:ascii="Arial" w:hAnsi="Arial" w:cs="Arial"/>
          <w:bCs/>
          <w:i/>
          <w:iCs/>
          <w:sz w:val="24"/>
          <w:lang w:val="es-PR"/>
        </w:rPr>
        <w:t>PERMISO IMPUGNADO</w:t>
      </w:r>
      <w:r w:rsidR="000007E5" w:rsidRPr="000007E5">
        <w:rPr>
          <w:rFonts w:ascii="Arial" w:hAnsi="Arial" w:cs="Arial"/>
          <w:bCs/>
          <w:iCs/>
          <w:sz w:val="24"/>
          <w:lang w:val="es-PR"/>
        </w:rPr>
        <w:t xml:space="preserve">. </w:t>
      </w:r>
      <w:r w:rsidR="000007E5">
        <w:rPr>
          <w:rFonts w:ascii="Arial" w:hAnsi="Arial" w:cs="Arial"/>
          <w:bCs/>
          <w:iCs/>
          <w:sz w:val="24"/>
          <w:lang w:val="es-PR"/>
        </w:rPr>
        <w:t>Al no saber de qué se trataba, y siendo la finca más grande que el predio arrendado por QMC, este abogado advirtió a los RECURRENTES que el propietario de la finca tenía derecho a su uso, que lo que no debía pasar era la construcción del proyecto de QMC, porque ese tipo de construcción estaba prohibido legalmente en terrenos clasificados susceptibles a deslizamientos</w:t>
      </w:r>
      <w:r w:rsidR="00D0056A">
        <w:rPr>
          <w:rFonts w:ascii="Arial" w:hAnsi="Arial" w:cs="Arial"/>
          <w:bCs/>
          <w:iCs/>
          <w:sz w:val="24"/>
          <w:lang w:val="es-PR"/>
        </w:rPr>
        <w:t xml:space="preserve"> por el USGS</w:t>
      </w:r>
      <w:r w:rsidR="000007E5">
        <w:rPr>
          <w:rFonts w:ascii="Arial" w:hAnsi="Arial" w:cs="Arial"/>
          <w:bCs/>
          <w:iCs/>
          <w:sz w:val="24"/>
          <w:lang w:val="es-PR"/>
        </w:rPr>
        <w:t xml:space="preserve">, por lo tanto el </w:t>
      </w:r>
      <w:r w:rsidR="000007E5">
        <w:rPr>
          <w:rFonts w:ascii="Arial" w:hAnsi="Arial" w:cs="Arial"/>
          <w:bCs/>
          <w:i/>
          <w:iCs/>
          <w:sz w:val="24"/>
          <w:lang w:val="es-PR"/>
        </w:rPr>
        <w:t>PERMISO IMPUGNADO</w:t>
      </w:r>
      <w:r w:rsidR="000007E5">
        <w:rPr>
          <w:rFonts w:ascii="Arial" w:hAnsi="Arial" w:cs="Arial"/>
          <w:bCs/>
          <w:iCs/>
          <w:sz w:val="24"/>
          <w:lang w:val="es-PR"/>
        </w:rPr>
        <w:t xml:space="preserve"> se presumía nulo y, entonces, debíamos recurrir al Tribunal de Apelaciones en auxilio de jurisdicción.</w:t>
      </w:r>
    </w:p>
    <w:p w:rsidR="003C0D35" w:rsidRPr="000007E5" w:rsidRDefault="000007E5" w:rsidP="000007E5">
      <w:pPr>
        <w:pStyle w:val="BodyText"/>
        <w:numPr>
          <w:ilvl w:val="0"/>
          <w:numId w:val="11"/>
        </w:numPr>
        <w:ind w:left="360"/>
        <w:jc w:val="both"/>
        <w:rPr>
          <w:rFonts w:ascii="Arial" w:hAnsi="Arial" w:cs="Arial"/>
          <w:bCs/>
          <w:sz w:val="24"/>
        </w:rPr>
      </w:pPr>
      <w:r w:rsidRPr="000007E5">
        <w:rPr>
          <w:rFonts w:ascii="Arial" w:hAnsi="Arial" w:cs="Arial"/>
          <w:bCs/>
          <w:iCs/>
          <w:sz w:val="24"/>
          <w:lang w:val="es-PR"/>
        </w:rPr>
        <w:t>Ya para el día 26 de septiembre de 2022 era claro que</w:t>
      </w:r>
      <w:r>
        <w:rPr>
          <w:rFonts w:ascii="Arial" w:hAnsi="Arial" w:cs="Arial"/>
          <w:bCs/>
          <w:iCs/>
          <w:sz w:val="24"/>
          <w:lang w:val="es-PR"/>
        </w:rPr>
        <w:t xml:space="preserve"> quienes</w:t>
      </w:r>
      <w:r w:rsidRPr="000007E5">
        <w:rPr>
          <w:rFonts w:ascii="Arial" w:hAnsi="Arial" w:cs="Arial"/>
          <w:bCs/>
          <w:iCs/>
          <w:sz w:val="24"/>
          <w:lang w:val="es-PR"/>
        </w:rPr>
        <w:t xml:space="preserve"> trabajaban</w:t>
      </w:r>
      <w:r>
        <w:rPr>
          <w:rFonts w:ascii="Arial" w:hAnsi="Arial" w:cs="Arial"/>
          <w:bCs/>
          <w:iCs/>
          <w:sz w:val="24"/>
          <w:lang w:val="es-PR"/>
        </w:rPr>
        <w:t xml:space="preserve"> en la finca eran</w:t>
      </w:r>
      <w:r w:rsidRPr="000007E5">
        <w:rPr>
          <w:rFonts w:ascii="Arial" w:hAnsi="Arial" w:cs="Arial"/>
          <w:bCs/>
          <w:iCs/>
          <w:sz w:val="24"/>
          <w:lang w:val="es-PR"/>
        </w:rPr>
        <w:t xml:space="preserve"> QMC, o sus empleados o agentes a su beneficio, precisamente el área de la finca donde proponen la construcción de la torre de telecomunicaciones, también ya habían marcado puntos en el lugar específico donde, según los planos, proponen </w:t>
      </w:r>
      <w:r w:rsidRPr="000007E5">
        <w:rPr>
          <w:rFonts w:ascii="Arial" w:hAnsi="Arial" w:cs="Arial"/>
          <w:bCs/>
          <w:iCs/>
          <w:sz w:val="24"/>
          <w:u w:val="single"/>
          <w:lang w:val="es-PR"/>
        </w:rPr>
        <w:t>hacer la excavación de la fosa</w:t>
      </w:r>
      <w:r w:rsidRPr="000007E5">
        <w:rPr>
          <w:rFonts w:ascii="Arial" w:hAnsi="Arial" w:cs="Arial"/>
          <w:bCs/>
          <w:iCs/>
          <w:sz w:val="24"/>
          <w:lang w:val="es-PR"/>
        </w:rPr>
        <w:t xml:space="preserve"> para la base de la torre y otras obras de urbanización del proyecto</w:t>
      </w:r>
      <w:r w:rsidR="007E295D">
        <w:rPr>
          <w:rFonts w:ascii="Arial" w:hAnsi="Arial" w:cs="Arial"/>
          <w:bCs/>
          <w:iCs/>
          <w:sz w:val="24"/>
          <w:lang w:val="es-PR"/>
        </w:rPr>
        <w:t xml:space="preserve">, y </w:t>
      </w:r>
      <w:r w:rsidR="007E295D">
        <w:rPr>
          <w:rFonts w:ascii="Arial" w:hAnsi="Arial" w:cs="Arial"/>
          <w:bCs/>
          <w:sz w:val="24"/>
        </w:rPr>
        <w:t>hay casas de los RECURRENTES y sus familias inmediatamente más debajo de donde se comenzaron los trabajos</w:t>
      </w:r>
      <w:r w:rsidR="007E295D">
        <w:rPr>
          <w:rStyle w:val="FootnoteReference"/>
          <w:rFonts w:ascii="Arial" w:hAnsi="Arial" w:cs="Arial"/>
          <w:bCs/>
          <w:iCs/>
          <w:sz w:val="24"/>
          <w:lang w:val="es-PR"/>
        </w:rPr>
        <w:t xml:space="preserve"> </w:t>
      </w:r>
      <w:r>
        <w:rPr>
          <w:rStyle w:val="FootnoteReference"/>
          <w:rFonts w:ascii="Arial" w:hAnsi="Arial" w:cs="Arial"/>
          <w:bCs/>
          <w:iCs/>
          <w:sz w:val="24"/>
          <w:lang w:val="es-PR"/>
        </w:rPr>
        <w:footnoteReference w:id="53"/>
      </w:r>
    </w:p>
    <w:p w:rsidR="007E295D" w:rsidRPr="00D0056A" w:rsidRDefault="007E295D" w:rsidP="00D0056A">
      <w:pPr>
        <w:pStyle w:val="BodyText"/>
        <w:numPr>
          <w:ilvl w:val="0"/>
          <w:numId w:val="11"/>
        </w:numPr>
        <w:ind w:left="360"/>
        <w:jc w:val="both"/>
        <w:rPr>
          <w:rFonts w:ascii="Arial" w:hAnsi="Arial" w:cs="Arial"/>
          <w:bCs/>
          <w:sz w:val="24"/>
        </w:rPr>
      </w:pPr>
      <w:r w:rsidRPr="007E295D">
        <w:rPr>
          <w:rFonts w:ascii="Arial" w:hAnsi="Arial" w:cs="Arial"/>
          <w:bCs/>
          <w:sz w:val="24"/>
          <w:lang w:val="es-PR"/>
        </w:rPr>
        <w:t xml:space="preserve">Este abogado se comunicó con la representación legal de QMC, mediante correo electrónico el día 28 de septiembre de 2022, para informarles sobre los actos de QMC, sobre el hecho de </w:t>
      </w:r>
      <w:r>
        <w:rPr>
          <w:rFonts w:ascii="Arial" w:hAnsi="Arial" w:cs="Arial"/>
          <w:bCs/>
          <w:sz w:val="24"/>
          <w:lang w:val="es-PR"/>
        </w:rPr>
        <w:t>que el permiso estaba impugnado en el RRJ</w:t>
      </w:r>
      <w:r w:rsidRPr="007E295D">
        <w:rPr>
          <w:rFonts w:ascii="Arial" w:hAnsi="Arial" w:cs="Arial"/>
          <w:bCs/>
          <w:sz w:val="24"/>
          <w:lang w:val="es-PR"/>
        </w:rPr>
        <w:t xml:space="preserve"> y </w:t>
      </w:r>
      <w:r>
        <w:rPr>
          <w:rFonts w:ascii="Arial" w:hAnsi="Arial" w:cs="Arial"/>
          <w:bCs/>
          <w:sz w:val="24"/>
          <w:lang w:val="es-PR"/>
        </w:rPr>
        <w:t xml:space="preserve">que </w:t>
      </w:r>
      <w:r w:rsidRPr="007E295D">
        <w:rPr>
          <w:rFonts w:ascii="Arial" w:hAnsi="Arial" w:cs="Arial"/>
          <w:bCs/>
          <w:sz w:val="24"/>
          <w:lang w:val="es-PR"/>
        </w:rPr>
        <w:t xml:space="preserve">los actos de su cliente ponen en peligro a los RECURRENTES, sus familias, sus propiedades y las de sus vecinos. Para que le dijera a su cliente que cesara de intentar construir. </w:t>
      </w:r>
      <w:r w:rsidRPr="007E295D">
        <w:rPr>
          <w:rFonts w:ascii="Arial" w:hAnsi="Arial" w:cs="Arial"/>
          <w:bCs/>
          <w:sz w:val="24"/>
          <w:vertAlign w:val="superscript"/>
          <w:lang w:val="en-US"/>
        </w:rPr>
        <w:footnoteReference w:id="54"/>
      </w:r>
    </w:p>
    <w:p w:rsidR="007E295D" w:rsidRPr="00D0056A" w:rsidRDefault="00D0056A" w:rsidP="000007E5">
      <w:pPr>
        <w:pStyle w:val="BodyText"/>
        <w:numPr>
          <w:ilvl w:val="0"/>
          <w:numId w:val="11"/>
        </w:numPr>
        <w:ind w:left="360"/>
        <w:jc w:val="both"/>
        <w:rPr>
          <w:rFonts w:ascii="Arial" w:hAnsi="Arial" w:cs="Arial"/>
          <w:bCs/>
          <w:sz w:val="24"/>
        </w:rPr>
      </w:pPr>
      <w:r w:rsidRPr="00D0056A">
        <w:rPr>
          <w:rFonts w:ascii="Arial" w:hAnsi="Arial" w:cs="Arial"/>
          <w:bCs/>
          <w:sz w:val="24"/>
          <w:lang w:val="es-PR"/>
        </w:rPr>
        <w:t>A pesar de la anterior notificación del peligro de daño real, inmediato e inminente y los fundamentos para que paralizaran la obra, QMC contin</w:t>
      </w:r>
      <w:r>
        <w:rPr>
          <w:rFonts w:ascii="Arial" w:hAnsi="Arial" w:cs="Arial"/>
          <w:bCs/>
          <w:sz w:val="24"/>
          <w:lang w:val="es-PR"/>
        </w:rPr>
        <w:t>uó</w:t>
      </w:r>
      <w:r w:rsidRPr="00D0056A">
        <w:rPr>
          <w:rFonts w:ascii="Arial" w:hAnsi="Arial" w:cs="Arial"/>
          <w:bCs/>
          <w:sz w:val="24"/>
          <w:lang w:val="es-PR"/>
        </w:rPr>
        <w:t xml:space="preserve"> con su intención de construir, llegando </w:t>
      </w:r>
      <w:r>
        <w:rPr>
          <w:rFonts w:ascii="Arial" w:hAnsi="Arial" w:cs="Arial"/>
          <w:bCs/>
          <w:sz w:val="24"/>
          <w:lang w:val="es-PR"/>
        </w:rPr>
        <w:t>el día 10 de octubre de 2022</w:t>
      </w:r>
      <w:r w:rsidRPr="00D0056A">
        <w:rPr>
          <w:rFonts w:ascii="Arial" w:hAnsi="Arial" w:cs="Arial"/>
          <w:bCs/>
          <w:sz w:val="24"/>
          <w:lang w:val="es-PR"/>
        </w:rPr>
        <w:t xml:space="preserve"> con una maquina pesada para perforar el suelo</w:t>
      </w:r>
      <w:r w:rsidRPr="00D0056A">
        <w:rPr>
          <w:rFonts w:ascii="Arial" w:hAnsi="Arial" w:cs="Arial"/>
          <w:bCs/>
          <w:sz w:val="24"/>
          <w:vertAlign w:val="superscript"/>
          <w:lang w:val="en-US"/>
        </w:rPr>
        <w:footnoteReference w:id="55"/>
      </w:r>
      <w:r w:rsidRPr="00D0056A">
        <w:rPr>
          <w:rFonts w:ascii="Arial" w:hAnsi="Arial" w:cs="Arial"/>
          <w:bCs/>
          <w:sz w:val="24"/>
          <w:lang w:val="es-PR"/>
        </w:rPr>
        <w:t xml:space="preserve"> y destruir la integridad del suelo con la excavación de la fosa principal</w:t>
      </w:r>
      <w:r>
        <w:rPr>
          <w:rFonts w:ascii="Arial" w:hAnsi="Arial" w:cs="Arial"/>
          <w:bCs/>
          <w:sz w:val="24"/>
          <w:lang w:val="es-PR"/>
        </w:rPr>
        <w:t xml:space="preserve"> para la torre.</w:t>
      </w:r>
    </w:p>
    <w:p w:rsidR="00D0056A" w:rsidRDefault="00D0056A" w:rsidP="00D0056A">
      <w:pPr>
        <w:pStyle w:val="BodyText"/>
        <w:numPr>
          <w:ilvl w:val="0"/>
          <w:numId w:val="11"/>
        </w:numPr>
        <w:ind w:left="360"/>
        <w:jc w:val="both"/>
        <w:rPr>
          <w:rFonts w:ascii="Arial" w:hAnsi="Arial" w:cs="Arial"/>
          <w:bCs/>
          <w:sz w:val="24"/>
        </w:rPr>
      </w:pPr>
      <w:r w:rsidRPr="00D0056A">
        <w:rPr>
          <w:rFonts w:ascii="Arial" w:hAnsi="Arial" w:cs="Arial"/>
          <w:bCs/>
          <w:sz w:val="24"/>
        </w:rPr>
        <w:t>Los RECURRENTES llamaron al abogado suscribiente aterrados, ya que están sufriendo actualmente por el deslizamiento de los terrenos circundantes a sus hogares a causa de la saturación de agua por la lluvia del Huracán Fiona y las semanas posteriores, en esos terrenos clasificados como susceptibles a deslizamientos, pidiendo auxilio para la detención de la obra.</w:t>
      </w:r>
      <w:r>
        <w:rPr>
          <w:rFonts w:ascii="Arial" w:hAnsi="Arial" w:cs="Arial"/>
          <w:bCs/>
          <w:sz w:val="24"/>
        </w:rPr>
        <w:t xml:space="preserve"> Estos también</w:t>
      </w:r>
      <w:r w:rsidRPr="00D0056A">
        <w:rPr>
          <w:rFonts w:ascii="Arial" w:hAnsi="Arial" w:cs="Arial"/>
          <w:bCs/>
          <w:sz w:val="24"/>
        </w:rPr>
        <w:t xml:space="preserve"> alertaron a los constructores</w:t>
      </w:r>
      <w:r>
        <w:rPr>
          <w:rFonts w:ascii="Arial" w:hAnsi="Arial" w:cs="Arial"/>
          <w:bCs/>
          <w:sz w:val="24"/>
        </w:rPr>
        <w:t>,</w:t>
      </w:r>
      <w:r w:rsidRPr="00D0056A">
        <w:rPr>
          <w:rFonts w:ascii="Arial" w:hAnsi="Arial" w:cs="Arial"/>
          <w:bCs/>
          <w:sz w:val="24"/>
        </w:rPr>
        <w:t xml:space="preserve"> tan pronto llegaron a la comunidad</w:t>
      </w:r>
      <w:r>
        <w:rPr>
          <w:rFonts w:ascii="Arial" w:hAnsi="Arial" w:cs="Arial"/>
          <w:bCs/>
          <w:sz w:val="24"/>
        </w:rPr>
        <w:t>,</w:t>
      </w:r>
      <w:r w:rsidRPr="00D0056A">
        <w:rPr>
          <w:rFonts w:ascii="Arial" w:hAnsi="Arial" w:cs="Arial"/>
          <w:bCs/>
          <w:sz w:val="24"/>
        </w:rPr>
        <w:t xml:space="preserve"> que el permiso que ostentan se encuentra en revisión y que esa es zona de deslizamientos donde está prohibida ese tipo de obras, pero </w:t>
      </w:r>
      <w:r w:rsidR="000906F5">
        <w:rPr>
          <w:rFonts w:ascii="Arial" w:hAnsi="Arial" w:cs="Arial"/>
          <w:bCs/>
          <w:sz w:val="24"/>
        </w:rPr>
        <w:t>QMC o sus agentes insistieron</w:t>
      </w:r>
      <w:r w:rsidRPr="00D0056A">
        <w:rPr>
          <w:rFonts w:ascii="Arial" w:hAnsi="Arial" w:cs="Arial"/>
          <w:bCs/>
          <w:sz w:val="24"/>
        </w:rPr>
        <w:t xml:space="preserve"> en querer introducir la maquina pesada de barrenado de suelo a la finca, siendo detenidos solamente por la manifestación de los vecinos del sector acompañados del Alcalde del Municipio de Ciales, Sr. Alexander Burgos Otero, que intercedió a favor de los vecinos, indicando a los constructores que en el sector estaban batallando por la falta de energía eléctrica y que no debían añadirle esta otra amenaza a sus vidas y propiedades</w:t>
      </w:r>
      <w:r w:rsidR="000906F5">
        <w:rPr>
          <w:rFonts w:ascii="Arial" w:hAnsi="Arial" w:cs="Arial"/>
          <w:bCs/>
          <w:sz w:val="24"/>
        </w:rPr>
        <w:t>.</w:t>
      </w:r>
    </w:p>
    <w:p w:rsidR="000906F5" w:rsidRDefault="000906F5" w:rsidP="00D0056A">
      <w:pPr>
        <w:pStyle w:val="BodyText"/>
        <w:numPr>
          <w:ilvl w:val="0"/>
          <w:numId w:val="11"/>
        </w:numPr>
        <w:ind w:left="360"/>
        <w:jc w:val="both"/>
        <w:rPr>
          <w:rFonts w:ascii="Arial" w:hAnsi="Arial" w:cs="Arial"/>
          <w:bCs/>
          <w:sz w:val="24"/>
        </w:rPr>
      </w:pPr>
      <w:r>
        <w:rPr>
          <w:rFonts w:ascii="Arial" w:hAnsi="Arial" w:cs="Arial"/>
          <w:bCs/>
          <w:sz w:val="24"/>
        </w:rPr>
        <w:t>Así las cosas, el día 11 de octubre esta PARTE PETICIONARIA presentó auxilio de jurisdicción al Hon. TA para que ordenara a QMC la paralización de la obra.</w:t>
      </w:r>
      <w:r>
        <w:rPr>
          <w:rStyle w:val="FootnoteReference"/>
          <w:rFonts w:ascii="Arial" w:hAnsi="Arial" w:cs="Arial"/>
          <w:bCs/>
          <w:sz w:val="24"/>
        </w:rPr>
        <w:footnoteReference w:id="56"/>
      </w:r>
    </w:p>
    <w:p w:rsidR="000906F5" w:rsidRPr="009C631D" w:rsidRDefault="000906F5" w:rsidP="00D0056A">
      <w:pPr>
        <w:pStyle w:val="BodyText"/>
        <w:numPr>
          <w:ilvl w:val="0"/>
          <w:numId w:val="11"/>
        </w:numPr>
        <w:ind w:left="360"/>
        <w:jc w:val="both"/>
        <w:rPr>
          <w:rFonts w:ascii="Arial" w:hAnsi="Arial" w:cs="Arial"/>
          <w:bCs/>
          <w:sz w:val="24"/>
        </w:rPr>
      </w:pPr>
      <w:r>
        <w:rPr>
          <w:rFonts w:ascii="Arial" w:hAnsi="Arial" w:cs="Arial"/>
          <w:bCs/>
          <w:sz w:val="24"/>
        </w:rPr>
        <w:t xml:space="preserve">Entonces, al próximo día de presentado el anterior auxilio de jurisdicción, el Hon. TA emitió la </w:t>
      </w:r>
      <w:r>
        <w:rPr>
          <w:rFonts w:ascii="Arial" w:hAnsi="Arial" w:cs="Arial"/>
          <w:bCs/>
          <w:i/>
          <w:sz w:val="24"/>
        </w:rPr>
        <w:t>SENTENCIA RRJ</w:t>
      </w:r>
      <w:r>
        <w:rPr>
          <w:rFonts w:ascii="Arial" w:hAnsi="Arial" w:cs="Arial"/>
          <w:bCs/>
          <w:sz w:val="24"/>
        </w:rPr>
        <w:t xml:space="preserve"> en la que desestima el recurso de revisión </w:t>
      </w:r>
      <w:r>
        <w:rPr>
          <w:rFonts w:ascii="Arial" w:hAnsi="Arial" w:cs="Arial"/>
          <w:bCs/>
          <w:sz w:val="24"/>
          <w:lang w:val="es-PR"/>
        </w:rPr>
        <w:t xml:space="preserve">confirmando la determinación de falta de jurisdicción de la DRA-OGPe, esto al concluir que: </w:t>
      </w:r>
    </w:p>
    <w:p w:rsidR="009C631D" w:rsidRDefault="009C631D" w:rsidP="000E653D">
      <w:pPr>
        <w:pStyle w:val="BodyText"/>
        <w:spacing w:line="240" w:lineRule="auto"/>
        <w:ind w:left="720" w:right="360"/>
        <w:jc w:val="both"/>
        <w:rPr>
          <w:rFonts w:ascii="Arial" w:hAnsi="Arial" w:cs="Arial"/>
          <w:bCs/>
          <w:sz w:val="20"/>
          <w:lang w:val="es-PR"/>
        </w:rPr>
      </w:pPr>
      <w:r w:rsidRPr="000E653D">
        <w:rPr>
          <w:rFonts w:ascii="Arial" w:hAnsi="Arial" w:cs="Arial"/>
          <w:bCs/>
          <w:sz w:val="20"/>
          <w:lang w:val="es-PR"/>
        </w:rPr>
        <w:t xml:space="preserve">Vemos pues que –distinto a </w:t>
      </w:r>
      <w:r w:rsidRPr="000E653D">
        <w:rPr>
          <w:rFonts w:ascii="Arial" w:hAnsi="Arial" w:cs="Arial"/>
          <w:bCs/>
          <w:i/>
          <w:sz w:val="20"/>
          <w:lang w:val="es-PR"/>
        </w:rPr>
        <w:t>Asoc. Residentes v. Montebello Dev. Corp., supra</w:t>
      </w:r>
      <w:r w:rsidRPr="000E653D">
        <w:rPr>
          <w:rFonts w:ascii="Arial" w:hAnsi="Arial" w:cs="Arial"/>
          <w:bCs/>
          <w:sz w:val="20"/>
          <w:lang w:val="es-PR"/>
        </w:rPr>
        <w:t>-, las circunstancias del presente caso activan la aplicación de la norma de “</w:t>
      </w:r>
      <w:r w:rsidRPr="000E653D">
        <w:rPr>
          <w:rFonts w:ascii="Arial" w:hAnsi="Arial" w:cs="Arial"/>
          <w:bCs/>
          <w:i/>
          <w:sz w:val="20"/>
          <w:lang w:val="es-PR"/>
        </w:rPr>
        <w:t>notificación constructiva</w:t>
      </w:r>
      <w:r w:rsidRPr="000E653D">
        <w:rPr>
          <w:rFonts w:ascii="Arial" w:hAnsi="Arial" w:cs="Arial"/>
          <w:bCs/>
          <w:sz w:val="20"/>
          <w:lang w:val="es-PR"/>
        </w:rPr>
        <w:t xml:space="preserve">”, aun cuando no fueron notificados formalmente por la OGPe de la concesión del permiso en cuestión.  Como expusiéramos: </w:t>
      </w:r>
      <w:r w:rsidRPr="000E653D">
        <w:rPr>
          <w:rFonts w:ascii="Arial" w:hAnsi="Arial" w:cs="Arial"/>
          <w:b/>
          <w:bCs/>
          <w:sz w:val="20"/>
          <w:lang w:val="es-PR"/>
        </w:rPr>
        <w:t>(1)</w:t>
      </w:r>
      <w:r w:rsidRPr="000E653D">
        <w:rPr>
          <w:rFonts w:ascii="Arial" w:hAnsi="Arial" w:cs="Arial"/>
          <w:bCs/>
          <w:sz w:val="20"/>
          <w:lang w:val="es-PR"/>
        </w:rPr>
        <w:t xml:space="preserve"> los recurrentes fueron notificados del proceso administrativo; </w:t>
      </w:r>
      <w:r w:rsidRPr="000E653D">
        <w:rPr>
          <w:rFonts w:ascii="Arial" w:hAnsi="Arial" w:cs="Arial"/>
          <w:b/>
          <w:bCs/>
          <w:sz w:val="20"/>
          <w:lang w:val="es-PR"/>
        </w:rPr>
        <w:t xml:space="preserve">(2) </w:t>
      </w:r>
      <w:r w:rsidRPr="000E653D">
        <w:rPr>
          <w:rFonts w:ascii="Arial" w:hAnsi="Arial" w:cs="Arial"/>
          <w:bCs/>
          <w:sz w:val="20"/>
          <w:lang w:val="es-PR"/>
        </w:rPr>
        <w:t xml:space="preserve">tuvieron la oportunidad de participar en el mismo; </w:t>
      </w:r>
      <w:r w:rsidRPr="000E653D">
        <w:rPr>
          <w:rFonts w:ascii="Arial" w:hAnsi="Arial" w:cs="Arial"/>
          <w:b/>
          <w:bCs/>
          <w:sz w:val="20"/>
          <w:lang w:val="es-PR"/>
        </w:rPr>
        <w:t>(3)</w:t>
      </w:r>
      <w:r w:rsidRPr="000E653D">
        <w:rPr>
          <w:rFonts w:ascii="Arial" w:hAnsi="Arial" w:cs="Arial"/>
          <w:bCs/>
          <w:sz w:val="20"/>
          <w:lang w:val="es-PR"/>
        </w:rPr>
        <w:t xml:space="preserve"> tenían copia del expediente administrativo; </w:t>
      </w:r>
      <w:r w:rsidRPr="000E653D">
        <w:rPr>
          <w:rFonts w:ascii="Arial" w:hAnsi="Arial" w:cs="Arial"/>
          <w:b/>
          <w:bCs/>
          <w:sz w:val="20"/>
          <w:lang w:val="es-PR"/>
        </w:rPr>
        <w:t>(4)</w:t>
      </w:r>
      <w:r w:rsidRPr="000E653D">
        <w:rPr>
          <w:rFonts w:ascii="Arial" w:hAnsi="Arial" w:cs="Arial"/>
          <w:bCs/>
          <w:sz w:val="20"/>
          <w:lang w:val="es-PR"/>
        </w:rPr>
        <w:t xml:space="preserve"> advinieron en conocimiento de la determinación de la OGPe </w:t>
      </w:r>
      <w:r w:rsidRPr="000E653D">
        <w:rPr>
          <w:rFonts w:ascii="Arial" w:hAnsi="Arial" w:cs="Arial"/>
          <w:b/>
          <w:bCs/>
          <w:sz w:val="20"/>
          <w:u w:val="single"/>
          <w:lang w:val="es-PR"/>
        </w:rPr>
        <w:t>antes</w:t>
      </w:r>
      <w:r w:rsidRPr="000E653D">
        <w:rPr>
          <w:rFonts w:ascii="Arial" w:hAnsi="Arial" w:cs="Arial"/>
          <w:bCs/>
          <w:sz w:val="20"/>
          <w:lang w:val="es-PR"/>
        </w:rPr>
        <w:t xml:space="preserve"> de que transcurriera el término para acudir en revisión administrativa, y en virtud de lo anterior; </w:t>
      </w:r>
      <w:r w:rsidRPr="000E653D">
        <w:rPr>
          <w:rFonts w:ascii="Arial" w:hAnsi="Arial" w:cs="Arial"/>
          <w:b/>
          <w:bCs/>
          <w:sz w:val="20"/>
          <w:lang w:val="es-PR"/>
        </w:rPr>
        <w:t>(5)</w:t>
      </w:r>
      <w:r w:rsidRPr="000E653D">
        <w:rPr>
          <w:rFonts w:ascii="Arial" w:hAnsi="Arial" w:cs="Arial"/>
          <w:bCs/>
          <w:sz w:val="20"/>
          <w:lang w:val="es-PR"/>
        </w:rPr>
        <w:t xml:space="preserve"> decidieron ejercer su derecho a solicitar revision mediante la presentación de la </w:t>
      </w:r>
      <w:r w:rsidRPr="000E653D">
        <w:rPr>
          <w:rFonts w:ascii="Arial" w:hAnsi="Arial" w:cs="Arial"/>
          <w:bCs/>
          <w:i/>
          <w:sz w:val="20"/>
          <w:u w:val="single"/>
          <w:lang w:val="es-PR"/>
        </w:rPr>
        <w:t>Solicitud de Revisión Administrativa</w:t>
      </w:r>
      <w:r w:rsidRPr="000E653D">
        <w:rPr>
          <w:rFonts w:ascii="Arial" w:hAnsi="Arial" w:cs="Arial"/>
          <w:bCs/>
          <w:sz w:val="20"/>
          <w:lang w:val="es-PR"/>
        </w:rPr>
        <w:t>, según éstos, incoada oportunamente el último día del término.</w:t>
      </w:r>
    </w:p>
    <w:p w:rsidR="000E653D" w:rsidRPr="000E653D" w:rsidRDefault="000E653D" w:rsidP="000E653D">
      <w:pPr>
        <w:pStyle w:val="BodyText"/>
        <w:spacing w:line="240" w:lineRule="auto"/>
        <w:ind w:left="720" w:right="360"/>
        <w:jc w:val="both"/>
        <w:rPr>
          <w:rFonts w:ascii="Arial" w:hAnsi="Arial" w:cs="Arial"/>
          <w:bCs/>
          <w:sz w:val="20"/>
          <w:lang w:val="es-PR"/>
        </w:rPr>
      </w:pPr>
    </w:p>
    <w:p w:rsidR="009C631D" w:rsidRDefault="009C631D" w:rsidP="000E653D">
      <w:pPr>
        <w:pStyle w:val="BodyText"/>
        <w:spacing w:line="240" w:lineRule="auto"/>
        <w:ind w:left="720" w:right="360"/>
        <w:jc w:val="both"/>
        <w:rPr>
          <w:rFonts w:ascii="Arial" w:hAnsi="Arial" w:cs="Arial"/>
          <w:bCs/>
          <w:sz w:val="20"/>
          <w:lang w:val="es-PR"/>
        </w:rPr>
      </w:pPr>
      <w:r w:rsidRPr="000E653D">
        <w:rPr>
          <w:rFonts w:ascii="Arial" w:hAnsi="Arial" w:cs="Arial"/>
          <w:bCs/>
          <w:sz w:val="20"/>
          <w:lang w:val="es-PR"/>
        </w:rPr>
        <w:t>…</w:t>
      </w:r>
    </w:p>
    <w:p w:rsidR="000E653D" w:rsidRPr="000E653D" w:rsidRDefault="000E653D" w:rsidP="000E653D">
      <w:pPr>
        <w:pStyle w:val="BodyText"/>
        <w:spacing w:line="240" w:lineRule="auto"/>
        <w:ind w:left="720" w:right="360"/>
        <w:jc w:val="both"/>
        <w:rPr>
          <w:rFonts w:ascii="Arial" w:hAnsi="Arial" w:cs="Arial"/>
          <w:bCs/>
          <w:sz w:val="20"/>
          <w:lang w:val="es-PR"/>
        </w:rPr>
      </w:pPr>
    </w:p>
    <w:p w:rsidR="009C631D" w:rsidRDefault="009C631D" w:rsidP="000E653D">
      <w:pPr>
        <w:pStyle w:val="BodyText"/>
        <w:spacing w:line="240" w:lineRule="auto"/>
        <w:ind w:left="720" w:right="360"/>
        <w:jc w:val="both"/>
        <w:rPr>
          <w:rFonts w:ascii="Arial" w:hAnsi="Arial" w:cs="Arial"/>
          <w:bCs/>
          <w:sz w:val="20"/>
          <w:lang w:val="es-PR"/>
        </w:rPr>
      </w:pPr>
      <w:r w:rsidRPr="000E653D">
        <w:rPr>
          <w:rFonts w:ascii="Arial" w:hAnsi="Arial" w:cs="Arial"/>
          <w:bCs/>
          <w:sz w:val="20"/>
          <w:lang w:val="es-PR"/>
        </w:rPr>
        <w:t xml:space="preserve">La parte recurrente insiste que el escrito de revisión fue presentado oportunamente el 21 de junio de 2022 a las 11:30 p.m. a través del </w:t>
      </w:r>
      <w:r w:rsidRPr="000E653D">
        <w:rPr>
          <w:rFonts w:ascii="Arial" w:hAnsi="Arial" w:cs="Arial"/>
          <w:bCs/>
          <w:i/>
          <w:sz w:val="20"/>
          <w:lang w:val="es-PR"/>
        </w:rPr>
        <w:t>Single Business Portal</w:t>
      </w:r>
      <w:r w:rsidRPr="000E653D">
        <w:rPr>
          <w:rFonts w:ascii="Arial" w:hAnsi="Arial" w:cs="Arial"/>
          <w:bCs/>
          <w:sz w:val="20"/>
          <w:lang w:val="es-PR"/>
        </w:rPr>
        <w:t xml:space="preserve">, aun cuando </w:t>
      </w:r>
      <w:r w:rsidRPr="000E653D">
        <w:rPr>
          <w:rFonts w:ascii="Arial" w:hAnsi="Arial" w:cs="Arial"/>
          <w:bCs/>
          <w:sz w:val="20"/>
          <w:u w:val="single"/>
          <w:lang w:val="es-PR"/>
        </w:rPr>
        <w:t>el pago del arancel fue procesado formalmente a las 12:00 a.m. del día siguiente, 22 de junio de 2022</w:t>
      </w:r>
      <w:r w:rsidRPr="000E653D">
        <w:rPr>
          <w:rFonts w:ascii="Arial" w:hAnsi="Arial" w:cs="Arial"/>
          <w:bCs/>
          <w:sz w:val="20"/>
          <w:lang w:val="es-PR"/>
        </w:rPr>
        <w:t xml:space="preserve">. Sin embargo, el problema que enfrenta dicha parte con su contención es que la Sec. 11.1.2.2 del Reglamento Conjunto para la Evaluación y Expedición de Permisos Relacionados al Desarrollo, Uso de Terrenos y Operación de Negocios de 2019, dispone sobre la presentación de una revisión administrativa, que la misma </w:t>
      </w:r>
      <w:r w:rsidRPr="000E653D">
        <w:rPr>
          <w:rFonts w:ascii="Arial" w:hAnsi="Arial" w:cs="Arial"/>
          <w:bCs/>
          <w:sz w:val="20"/>
          <w:u w:val="single"/>
          <w:lang w:val="es-PR"/>
        </w:rPr>
        <w:t>no se entenderá radicada para ningún efecto legal sino está acompañado por la evidencia del pago del aranciel</w:t>
      </w:r>
      <w:r w:rsidRPr="000E653D">
        <w:rPr>
          <w:rFonts w:ascii="Arial" w:hAnsi="Arial" w:cs="Arial"/>
          <w:bCs/>
          <w:sz w:val="20"/>
          <w:lang w:val="es-PR"/>
        </w:rPr>
        <w:t xml:space="preserve">, entre otras cosas. Por tanto, la </w:t>
      </w:r>
      <w:r w:rsidRPr="000E653D">
        <w:rPr>
          <w:rFonts w:ascii="Arial" w:hAnsi="Arial" w:cs="Arial"/>
          <w:bCs/>
          <w:i/>
          <w:sz w:val="20"/>
          <w:u w:val="single"/>
          <w:lang w:val="es-PR"/>
        </w:rPr>
        <w:t>Solicitud de Revisión Administrativa</w:t>
      </w:r>
      <w:r w:rsidRPr="000E653D">
        <w:rPr>
          <w:rFonts w:ascii="Arial" w:hAnsi="Arial" w:cs="Arial"/>
          <w:bCs/>
          <w:sz w:val="20"/>
          <w:lang w:val="es-PR"/>
        </w:rPr>
        <w:t xml:space="preserve"> presentada por la parte recurrente se considera oficialmente radicada el </w:t>
      </w:r>
      <w:r w:rsidRPr="000E653D">
        <w:rPr>
          <w:rFonts w:ascii="Arial" w:hAnsi="Arial" w:cs="Arial"/>
          <w:b/>
          <w:bCs/>
          <w:sz w:val="20"/>
          <w:lang w:val="es-PR"/>
        </w:rPr>
        <w:t>22 de junio de 2022</w:t>
      </w:r>
      <w:r w:rsidR="00DC0ACD" w:rsidRPr="000E653D">
        <w:rPr>
          <w:rFonts w:ascii="Arial" w:hAnsi="Arial" w:cs="Arial"/>
          <w:b/>
          <w:bCs/>
          <w:sz w:val="20"/>
          <w:lang w:val="es-PR"/>
        </w:rPr>
        <w:t xml:space="preserve">, </w:t>
      </w:r>
      <w:r w:rsidR="00DC0ACD" w:rsidRPr="000E653D">
        <w:rPr>
          <w:rFonts w:ascii="Arial" w:hAnsi="Arial" w:cs="Arial"/>
          <w:bCs/>
          <w:sz w:val="20"/>
          <w:lang w:val="es-PR"/>
        </w:rPr>
        <w:t>luego de haber realizado el pago del derecho correspondiente.</w:t>
      </w:r>
    </w:p>
    <w:p w:rsidR="000E653D" w:rsidRPr="000E653D" w:rsidRDefault="000E653D" w:rsidP="000E653D">
      <w:pPr>
        <w:pStyle w:val="BodyText"/>
        <w:spacing w:line="240" w:lineRule="auto"/>
        <w:ind w:left="720" w:right="360"/>
        <w:jc w:val="both"/>
        <w:rPr>
          <w:rFonts w:ascii="Arial" w:hAnsi="Arial" w:cs="Arial"/>
          <w:bCs/>
          <w:sz w:val="20"/>
          <w:lang w:val="es-PR"/>
        </w:rPr>
      </w:pPr>
    </w:p>
    <w:p w:rsidR="00DC0ACD" w:rsidRPr="000E653D" w:rsidRDefault="00DC0ACD" w:rsidP="000E653D">
      <w:pPr>
        <w:pStyle w:val="BodyText"/>
        <w:spacing w:line="240" w:lineRule="auto"/>
        <w:ind w:left="720" w:right="360"/>
        <w:jc w:val="both"/>
        <w:rPr>
          <w:rFonts w:ascii="Arial" w:hAnsi="Arial" w:cs="Arial"/>
          <w:bCs/>
          <w:sz w:val="20"/>
          <w:lang w:val="es-PR"/>
        </w:rPr>
      </w:pPr>
      <w:r w:rsidRPr="000E653D">
        <w:rPr>
          <w:rFonts w:ascii="Arial" w:hAnsi="Arial" w:cs="Arial"/>
          <w:bCs/>
          <w:sz w:val="20"/>
          <w:lang w:val="es-PR"/>
        </w:rPr>
        <w:t xml:space="preserve">En consecuencia, colegimos que la División de Revisión Administrativa de la OGPe no incidió al declararse sin jurisdicción para acoger la </w:t>
      </w:r>
      <w:r w:rsidRPr="000E653D">
        <w:rPr>
          <w:rFonts w:ascii="Arial" w:hAnsi="Arial" w:cs="Arial"/>
          <w:bCs/>
          <w:i/>
          <w:sz w:val="20"/>
          <w:u w:val="single"/>
          <w:lang w:val="es-PR"/>
        </w:rPr>
        <w:t>Solicitud de Revisión Administrativa</w:t>
      </w:r>
      <w:r w:rsidRPr="000E653D">
        <w:rPr>
          <w:rFonts w:ascii="Arial" w:hAnsi="Arial" w:cs="Arial"/>
          <w:bCs/>
          <w:sz w:val="20"/>
          <w:lang w:val="es-PR"/>
        </w:rPr>
        <w:t xml:space="preserve"> presentada por la parte recurrente el 22 de junio de 2022, fuera del término jurisdiccional de veinte (20) días. Así, al no haberse radicado oportunamente, no se interrumpió el término para acudir en revisión judicial ante el Tribunal de Apelaciones, que venció el 30 de junio de 2022. (citas omitidas y énfasis en el original)</w:t>
      </w:r>
    </w:p>
    <w:p w:rsidR="00DC0ACD" w:rsidRDefault="00DC0ACD" w:rsidP="000E653D">
      <w:pPr>
        <w:pStyle w:val="BodyText"/>
        <w:spacing w:line="240" w:lineRule="auto"/>
        <w:ind w:left="720" w:right="360"/>
        <w:jc w:val="both"/>
        <w:rPr>
          <w:rFonts w:ascii="Arial" w:hAnsi="Arial" w:cs="Arial"/>
          <w:b/>
          <w:bCs/>
          <w:sz w:val="20"/>
          <w:lang w:val="es-PR"/>
        </w:rPr>
      </w:pPr>
      <w:r w:rsidRPr="000E653D">
        <w:rPr>
          <w:rFonts w:ascii="Arial" w:hAnsi="Arial" w:cs="Arial"/>
          <w:bCs/>
          <w:i/>
          <w:sz w:val="20"/>
          <w:lang w:val="es-PR"/>
        </w:rPr>
        <w:t>SENTENCIA RRJ</w:t>
      </w:r>
      <w:r w:rsidRPr="000E653D">
        <w:rPr>
          <w:rFonts w:ascii="Arial" w:hAnsi="Arial" w:cs="Arial"/>
          <w:bCs/>
          <w:sz w:val="20"/>
          <w:lang w:val="es-PR"/>
        </w:rPr>
        <w:t xml:space="preserve">, véase en </w:t>
      </w:r>
      <w:r w:rsidRPr="000E653D">
        <w:rPr>
          <w:rFonts w:ascii="Arial" w:hAnsi="Arial" w:cs="Arial"/>
          <w:b/>
          <w:bCs/>
          <w:sz w:val="20"/>
          <w:lang w:val="es-PR"/>
        </w:rPr>
        <w:t>Ap., pág. 14-15.</w:t>
      </w:r>
    </w:p>
    <w:p w:rsidR="000E653D" w:rsidRDefault="000E653D" w:rsidP="000E653D">
      <w:pPr>
        <w:pStyle w:val="BodyText"/>
        <w:spacing w:line="240" w:lineRule="auto"/>
        <w:ind w:left="720" w:right="360"/>
        <w:jc w:val="both"/>
        <w:rPr>
          <w:rFonts w:ascii="Arial" w:hAnsi="Arial" w:cs="Arial"/>
          <w:b/>
          <w:bCs/>
          <w:sz w:val="24"/>
          <w:lang w:val="es-PR"/>
        </w:rPr>
      </w:pPr>
    </w:p>
    <w:p w:rsidR="002613B7" w:rsidRPr="002613B7" w:rsidRDefault="002613B7" w:rsidP="00240185">
      <w:pPr>
        <w:pStyle w:val="BodyText"/>
        <w:numPr>
          <w:ilvl w:val="0"/>
          <w:numId w:val="11"/>
        </w:numPr>
        <w:ind w:left="360"/>
        <w:jc w:val="both"/>
        <w:rPr>
          <w:rFonts w:ascii="Arial" w:hAnsi="Arial" w:cs="Arial"/>
          <w:b/>
          <w:bCs/>
          <w:sz w:val="24"/>
          <w:lang w:val="es-PR"/>
        </w:rPr>
      </w:pPr>
      <w:r>
        <w:rPr>
          <w:rFonts w:ascii="Arial" w:hAnsi="Arial" w:cs="Arial"/>
          <w:bCs/>
          <w:sz w:val="24"/>
          <w:lang w:val="es-PR"/>
        </w:rPr>
        <w:t xml:space="preserve">Al próximo día de notificada la </w:t>
      </w:r>
      <w:r>
        <w:rPr>
          <w:rFonts w:ascii="Arial" w:hAnsi="Arial" w:cs="Arial"/>
          <w:bCs/>
          <w:i/>
          <w:sz w:val="24"/>
          <w:lang w:val="es-PR"/>
        </w:rPr>
        <w:t>SENTENCIA RRJ</w:t>
      </w:r>
      <w:r>
        <w:rPr>
          <w:rFonts w:ascii="Arial" w:hAnsi="Arial" w:cs="Arial"/>
          <w:bCs/>
          <w:sz w:val="24"/>
          <w:lang w:val="es-PR"/>
        </w:rPr>
        <w:t xml:space="preserve">, fuimos notificados la </w:t>
      </w:r>
      <w:r>
        <w:rPr>
          <w:rFonts w:ascii="Arial" w:hAnsi="Arial" w:cs="Arial"/>
          <w:bCs/>
          <w:i/>
          <w:sz w:val="24"/>
          <w:lang w:val="es-PR"/>
        </w:rPr>
        <w:t xml:space="preserve">RESOLUCIÓN </w:t>
      </w:r>
      <w:r>
        <w:rPr>
          <w:rFonts w:ascii="Arial" w:hAnsi="Arial" w:cs="Arial"/>
          <w:bCs/>
          <w:sz w:val="24"/>
          <w:lang w:val="es-PR"/>
        </w:rPr>
        <w:t>declarando no ha lugar a nuestro auxilio de jurisdicción.</w:t>
      </w:r>
      <w:r>
        <w:rPr>
          <w:rStyle w:val="FootnoteReference"/>
          <w:rFonts w:ascii="Arial" w:hAnsi="Arial" w:cs="Arial"/>
          <w:bCs/>
          <w:sz w:val="24"/>
          <w:lang w:val="es-PR"/>
        </w:rPr>
        <w:footnoteReference w:id="57"/>
      </w:r>
    </w:p>
    <w:p w:rsidR="00DC0ACD" w:rsidRPr="00240185" w:rsidRDefault="00DC0ACD" w:rsidP="00240185">
      <w:pPr>
        <w:pStyle w:val="BodyText"/>
        <w:numPr>
          <w:ilvl w:val="0"/>
          <w:numId w:val="11"/>
        </w:numPr>
        <w:ind w:left="360"/>
        <w:jc w:val="both"/>
        <w:rPr>
          <w:rFonts w:ascii="Arial" w:hAnsi="Arial" w:cs="Arial"/>
          <w:b/>
          <w:bCs/>
          <w:sz w:val="24"/>
          <w:lang w:val="es-PR"/>
        </w:rPr>
      </w:pPr>
      <w:r>
        <w:rPr>
          <w:rFonts w:ascii="Arial" w:hAnsi="Arial" w:cs="Arial"/>
          <w:bCs/>
          <w:sz w:val="24"/>
        </w:rPr>
        <w:t>En atención a que la notificación del pago previamente efectuado del RRA se efectuó efectivamente menos de un minuto después de haber vencido el término que esta PARTE respetuosamente entiende que no le aplica</w:t>
      </w:r>
      <w:r w:rsidR="00240185">
        <w:rPr>
          <w:rFonts w:ascii="Arial" w:hAnsi="Arial" w:cs="Arial"/>
          <w:bCs/>
          <w:sz w:val="24"/>
        </w:rPr>
        <w:t xml:space="preserve">; a que existe la prohibición de la construcción de torres de </w:t>
      </w:r>
      <w:r w:rsidR="00240185" w:rsidRPr="00240185">
        <w:rPr>
          <w:rFonts w:ascii="Arial" w:hAnsi="Arial" w:cs="Arial"/>
          <w:bCs/>
          <w:sz w:val="24"/>
        </w:rPr>
        <w:t xml:space="preserve">telecomunicaciones en terrenos clasificados como susceptibles de deslizamientos, cosa que hace nulo el </w:t>
      </w:r>
      <w:r w:rsidR="00240185" w:rsidRPr="00240185">
        <w:rPr>
          <w:rFonts w:ascii="Arial" w:hAnsi="Arial" w:cs="Arial"/>
          <w:bCs/>
          <w:i/>
          <w:sz w:val="24"/>
        </w:rPr>
        <w:t>PERMISO IMPUGNADO</w:t>
      </w:r>
      <w:r w:rsidR="00240185" w:rsidRPr="00240185">
        <w:rPr>
          <w:rFonts w:ascii="Arial" w:hAnsi="Arial" w:cs="Arial"/>
          <w:bCs/>
          <w:sz w:val="24"/>
        </w:rPr>
        <w:t xml:space="preserve">, según el </w:t>
      </w:r>
      <w:r w:rsidR="00240185" w:rsidRPr="00240185">
        <w:rPr>
          <w:rFonts w:ascii="Arial" w:hAnsi="Arial" w:cs="Arial"/>
          <w:b/>
          <w:bCs/>
          <w:sz w:val="24"/>
        </w:rPr>
        <w:t>art. 16, Código Civil, Ley Núm. 55-2020</w:t>
      </w:r>
      <w:r w:rsidR="00240185" w:rsidRPr="00240185">
        <w:rPr>
          <w:rFonts w:ascii="Arial" w:hAnsi="Arial" w:cs="Arial"/>
          <w:bCs/>
          <w:sz w:val="24"/>
        </w:rPr>
        <w:t>, y que “</w:t>
      </w:r>
      <w:r w:rsidR="00240185" w:rsidRPr="00240185">
        <w:rPr>
          <w:rFonts w:ascii="Arial" w:hAnsi="Arial" w:cs="Arial"/>
          <w:bCs/>
          <w:sz w:val="24"/>
          <w:lang w:val="es-PR"/>
        </w:rPr>
        <w:t>resulta mandatorio declarar su inexistencia jurídica</w:t>
      </w:r>
      <w:r w:rsidR="00240185">
        <w:rPr>
          <w:rFonts w:ascii="Arial" w:hAnsi="Arial" w:cs="Arial"/>
          <w:bCs/>
          <w:sz w:val="24"/>
        </w:rPr>
        <w:t>”</w:t>
      </w:r>
      <w:r w:rsidR="00240185" w:rsidRPr="00240185">
        <w:rPr>
          <w:rFonts w:ascii="Arial" w:hAnsi="Arial" w:cs="Arial"/>
          <w:bCs/>
          <w:sz w:val="24"/>
        </w:rPr>
        <w:t xml:space="preserve">, según </w:t>
      </w:r>
      <w:r w:rsidR="00240185" w:rsidRPr="00240185">
        <w:rPr>
          <w:rFonts w:ascii="Arial" w:hAnsi="Arial" w:cs="Arial"/>
          <w:bCs/>
          <w:sz w:val="24"/>
          <w:u w:val="single"/>
        </w:rPr>
        <w:t>Montañez v Policía</w:t>
      </w:r>
      <w:r w:rsidR="00240185">
        <w:rPr>
          <w:rFonts w:ascii="Arial" w:hAnsi="Arial" w:cs="Arial"/>
          <w:bCs/>
          <w:sz w:val="24"/>
        </w:rPr>
        <w:t xml:space="preserve">, </w:t>
      </w:r>
      <w:r w:rsidR="00240185" w:rsidRPr="00240185">
        <w:rPr>
          <w:rFonts w:ascii="Arial" w:hAnsi="Arial" w:cs="Arial"/>
          <w:bCs/>
          <w:sz w:val="24"/>
          <w:lang w:val="es-PR"/>
        </w:rPr>
        <w:t>2000 T</w:t>
      </w:r>
      <w:r w:rsidR="00240185">
        <w:rPr>
          <w:rFonts w:ascii="Arial" w:hAnsi="Arial" w:cs="Arial"/>
          <w:bCs/>
          <w:sz w:val="24"/>
          <w:lang w:val="es-PR"/>
        </w:rPr>
        <w:t>.</w:t>
      </w:r>
      <w:r w:rsidR="00240185" w:rsidRPr="00240185">
        <w:rPr>
          <w:rFonts w:ascii="Arial" w:hAnsi="Arial" w:cs="Arial"/>
          <w:bCs/>
          <w:sz w:val="24"/>
          <w:lang w:val="es-PR"/>
        </w:rPr>
        <w:t>S</w:t>
      </w:r>
      <w:r w:rsidR="00240185">
        <w:rPr>
          <w:rFonts w:ascii="Arial" w:hAnsi="Arial" w:cs="Arial"/>
          <w:bCs/>
          <w:sz w:val="24"/>
          <w:lang w:val="es-PR"/>
        </w:rPr>
        <w:t>.</w:t>
      </w:r>
      <w:r w:rsidR="00240185" w:rsidRPr="00240185">
        <w:rPr>
          <w:rFonts w:ascii="Arial" w:hAnsi="Arial" w:cs="Arial"/>
          <w:bCs/>
          <w:sz w:val="24"/>
          <w:lang w:val="es-PR"/>
        </w:rPr>
        <w:t>P</w:t>
      </w:r>
      <w:r w:rsidR="00240185">
        <w:rPr>
          <w:rFonts w:ascii="Arial" w:hAnsi="Arial" w:cs="Arial"/>
          <w:bCs/>
          <w:sz w:val="24"/>
          <w:lang w:val="es-PR"/>
        </w:rPr>
        <w:t>.</w:t>
      </w:r>
      <w:r w:rsidR="00240185" w:rsidRPr="00240185">
        <w:rPr>
          <w:rFonts w:ascii="Arial" w:hAnsi="Arial" w:cs="Arial"/>
          <w:bCs/>
          <w:sz w:val="24"/>
          <w:lang w:val="es-PR"/>
        </w:rPr>
        <w:t>R</w:t>
      </w:r>
      <w:r w:rsidR="00240185">
        <w:rPr>
          <w:rFonts w:ascii="Arial" w:hAnsi="Arial" w:cs="Arial"/>
          <w:bCs/>
          <w:sz w:val="24"/>
          <w:lang w:val="es-PR"/>
        </w:rPr>
        <w:t>.</w:t>
      </w:r>
      <w:r w:rsidR="00240185" w:rsidRPr="00240185">
        <w:rPr>
          <w:rFonts w:ascii="Arial" w:hAnsi="Arial" w:cs="Arial"/>
          <w:bCs/>
          <w:sz w:val="24"/>
          <w:lang w:val="es-PR"/>
        </w:rPr>
        <w:t xml:space="preserve"> 68, p</w:t>
      </w:r>
      <w:r w:rsidR="00240185">
        <w:rPr>
          <w:rFonts w:ascii="Arial" w:hAnsi="Arial" w:cs="Arial"/>
          <w:bCs/>
          <w:sz w:val="24"/>
          <w:lang w:val="es-PR"/>
        </w:rPr>
        <w:t>ág. 6, y su progenie;</w:t>
      </w:r>
      <w:r w:rsidRPr="00240185">
        <w:rPr>
          <w:rFonts w:ascii="Arial" w:hAnsi="Arial" w:cs="Arial"/>
          <w:bCs/>
          <w:sz w:val="24"/>
        </w:rPr>
        <w:t xml:space="preserve"> a que la sección del Reglamento Conjunto 2019 que cita como autoridad el Hon. TA había sido declarada nula previamente y dicho Reglamento Conjunto 2019 nunca fue parte de la evaluación y otorgación del PERMISO IMPUGNADO</w:t>
      </w:r>
      <w:r w:rsidR="00240185">
        <w:rPr>
          <w:rFonts w:ascii="Arial" w:hAnsi="Arial" w:cs="Arial"/>
          <w:bCs/>
          <w:sz w:val="24"/>
        </w:rPr>
        <w:t xml:space="preserve">; y al peligro real, inmediato e inminente que sufren hoy los RECURRENTES, sus familias y su propiedad, y la de sus vecinos, ante una obra ilegal a base de un permiso presumiblemente nulo; esta PARTE RECURRENTE entiende que se debe revocar la </w:t>
      </w:r>
      <w:r w:rsidR="00240185">
        <w:rPr>
          <w:rFonts w:ascii="Arial" w:hAnsi="Arial" w:cs="Arial"/>
          <w:bCs/>
          <w:i/>
          <w:sz w:val="24"/>
        </w:rPr>
        <w:t xml:space="preserve">SENTENCIA RRJ </w:t>
      </w:r>
      <w:r w:rsidR="00240185">
        <w:rPr>
          <w:rFonts w:ascii="Arial" w:hAnsi="Arial" w:cs="Arial"/>
          <w:bCs/>
          <w:sz w:val="24"/>
        </w:rPr>
        <w:t>por los siguientes…</w:t>
      </w:r>
      <w:r w:rsidRPr="00240185">
        <w:rPr>
          <w:rFonts w:ascii="Arial" w:hAnsi="Arial" w:cs="Arial"/>
          <w:bCs/>
          <w:sz w:val="24"/>
        </w:rPr>
        <w:t xml:space="preserve"> </w:t>
      </w:r>
    </w:p>
    <w:p w:rsidR="005B352F" w:rsidRPr="00253B56" w:rsidRDefault="00AE30A1" w:rsidP="005B352F">
      <w:pPr>
        <w:pStyle w:val="BodyText"/>
        <w:numPr>
          <w:ilvl w:val="0"/>
          <w:numId w:val="16"/>
        </w:numPr>
        <w:jc w:val="both"/>
        <w:rPr>
          <w:rFonts w:ascii="Arial" w:hAnsi="Arial" w:cs="Arial"/>
          <w:b/>
          <w:bCs/>
          <w:sz w:val="24"/>
          <w:lang w:val="es-PR"/>
        </w:rPr>
      </w:pPr>
      <w:r w:rsidRPr="00115FEF">
        <w:rPr>
          <w:rFonts w:ascii="Arial" w:hAnsi="Arial" w:cs="Arial"/>
          <w:b/>
          <w:sz w:val="24"/>
          <w:lang w:val="es-PR"/>
        </w:rPr>
        <w:t>SEÑALAMIENTO</w:t>
      </w:r>
      <w:r w:rsidR="00240185">
        <w:rPr>
          <w:rFonts w:ascii="Arial" w:hAnsi="Arial" w:cs="Arial"/>
          <w:b/>
          <w:sz w:val="24"/>
          <w:lang w:val="es-PR"/>
        </w:rPr>
        <w:t>S</w:t>
      </w:r>
      <w:r w:rsidRPr="00115FEF">
        <w:rPr>
          <w:rFonts w:ascii="Arial" w:hAnsi="Arial" w:cs="Arial"/>
          <w:b/>
          <w:sz w:val="24"/>
          <w:lang w:val="es-PR"/>
        </w:rPr>
        <w:t xml:space="preserve"> BREVE</w:t>
      </w:r>
      <w:r w:rsidR="00240185">
        <w:rPr>
          <w:rFonts w:ascii="Arial" w:hAnsi="Arial" w:cs="Arial"/>
          <w:b/>
          <w:sz w:val="24"/>
          <w:lang w:val="es-PR"/>
        </w:rPr>
        <w:t>S</w:t>
      </w:r>
      <w:r w:rsidRPr="00115FEF">
        <w:rPr>
          <w:rFonts w:ascii="Arial" w:hAnsi="Arial" w:cs="Arial"/>
          <w:b/>
          <w:sz w:val="24"/>
          <w:lang w:val="es-PR"/>
        </w:rPr>
        <w:t xml:space="preserve"> Y CONCISO</w:t>
      </w:r>
      <w:r w:rsidR="00240185">
        <w:rPr>
          <w:rFonts w:ascii="Arial" w:hAnsi="Arial" w:cs="Arial"/>
          <w:b/>
          <w:sz w:val="24"/>
          <w:lang w:val="es-PR"/>
        </w:rPr>
        <w:t>S</w:t>
      </w:r>
      <w:r w:rsidRPr="00115FEF">
        <w:rPr>
          <w:rFonts w:ascii="Arial" w:hAnsi="Arial" w:cs="Arial"/>
          <w:b/>
          <w:sz w:val="24"/>
          <w:lang w:val="es-PR"/>
        </w:rPr>
        <w:t xml:space="preserve"> DE LOS ERRORES</w:t>
      </w:r>
      <w:r w:rsidRPr="00AE30A1">
        <w:rPr>
          <w:rFonts w:ascii="Arial" w:hAnsi="Arial" w:cs="Arial"/>
          <w:b/>
          <w:sz w:val="24"/>
          <w:lang w:val="es-PR"/>
        </w:rPr>
        <w:t xml:space="preserve"> QUE, A JUICIO DE </w:t>
      </w:r>
      <w:r>
        <w:rPr>
          <w:rFonts w:ascii="Arial" w:hAnsi="Arial" w:cs="Arial"/>
          <w:b/>
          <w:sz w:val="24"/>
          <w:lang w:val="es-PR"/>
        </w:rPr>
        <w:t>ESTA</w:t>
      </w:r>
      <w:r w:rsidRPr="00AE30A1">
        <w:rPr>
          <w:rFonts w:ascii="Arial" w:hAnsi="Arial" w:cs="Arial"/>
          <w:b/>
          <w:sz w:val="24"/>
          <w:lang w:val="es-PR"/>
        </w:rPr>
        <w:t xml:space="preserve"> PARTE PETICIONARIA, COMETIÓ EL </w:t>
      </w:r>
      <w:r>
        <w:rPr>
          <w:rFonts w:ascii="Arial" w:hAnsi="Arial" w:cs="Arial"/>
          <w:b/>
          <w:sz w:val="24"/>
          <w:lang w:val="es-PR"/>
        </w:rPr>
        <w:t xml:space="preserve">HON. </w:t>
      </w:r>
      <w:r w:rsidRPr="00AE30A1">
        <w:rPr>
          <w:rFonts w:ascii="Arial" w:hAnsi="Arial" w:cs="Arial"/>
          <w:b/>
          <w:sz w:val="24"/>
          <w:lang w:val="es-PR"/>
        </w:rPr>
        <w:t>TRIBUNAL DE APELACIONES</w:t>
      </w:r>
    </w:p>
    <w:p w:rsidR="00253B56" w:rsidRDefault="00115FEF" w:rsidP="00FA6622">
      <w:pPr>
        <w:pStyle w:val="BodyText"/>
        <w:spacing w:line="240" w:lineRule="auto"/>
        <w:ind w:left="1080"/>
        <w:jc w:val="both"/>
        <w:rPr>
          <w:rFonts w:ascii="Arial" w:hAnsi="Arial" w:cs="Arial"/>
          <w:b/>
          <w:bCs/>
          <w:sz w:val="24"/>
          <w:lang w:val="es-PR"/>
        </w:rPr>
      </w:pPr>
      <w:r w:rsidRPr="00FA6622">
        <w:rPr>
          <w:rFonts w:ascii="Arial" w:hAnsi="Arial" w:cs="Arial"/>
          <w:b/>
          <w:bCs/>
          <w:sz w:val="24"/>
          <w:u w:val="single"/>
          <w:lang w:val="es-PR"/>
        </w:rPr>
        <w:t>PRIMER SEÑALAMIENTO DE ERROR</w:t>
      </w:r>
      <w:r>
        <w:rPr>
          <w:rFonts w:ascii="Arial" w:hAnsi="Arial" w:cs="Arial"/>
          <w:b/>
          <w:bCs/>
          <w:sz w:val="24"/>
          <w:lang w:val="es-PR"/>
        </w:rPr>
        <w:t xml:space="preserve">: ERRÓ EL HONORABLE TRIBUNAL DE APELACIONES AL </w:t>
      </w:r>
      <w:r w:rsidR="00240185">
        <w:rPr>
          <w:rFonts w:ascii="Arial" w:hAnsi="Arial" w:cs="Arial"/>
          <w:b/>
          <w:bCs/>
          <w:sz w:val="24"/>
          <w:lang w:val="es-PR"/>
        </w:rPr>
        <w:t>CONCLUIR QUE EN ESTE CASO SE CONFIGURAN LOS HECHOS PARA QUE SEA VALIDA LA “NOTIFICACIÓN CONSTRUCCTIVA” DEL PERMISO IMPUGNADO, Y POR LO TANTO LE APLICARA A ESTA PARTE RECURRENTE EL TÉRMINO JURISDICCIONAL DE VEINTE (20) Y TREINTA (30) DÍAS</w:t>
      </w:r>
      <w:r w:rsidR="00240185" w:rsidRPr="00240185">
        <w:rPr>
          <w:rFonts w:ascii="Arial" w:hAnsi="Arial" w:cs="Arial"/>
          <w:b/>
          <w:bCs/>
          <w:sz w:val="24"/>
          <w:lang w:val="es-PR"/>
        </w:rPr>
        <w:t xml:space="preserve"> </w:t>
      </w:r>
      <w:r w:rsidR="00240185">
        <w:rPr>
          <w:rFonts w:ascii="Arial" w:hAnsi="Arial" w:cs="Arial"/>
          <w:b/>
          <w:bCs/>
          <w:sz w:val="24"/>
          <w:lang w:val="es-PR"/>
        </w:rPr>
        <w:t xml:space="preserve">DE OTORGADO DICHO PERMISO, RESPECTIVAMENTE, PARA ACUDIR </w:t>
      </w:r>
      <w:r w:rsidR="00FA6622">
        <w:rPr>
          <w:rFonts w:ascii="Arial" w:hAnsi="Arial" w:cs="Arial"/>
          <w:b/>
          <w:bCs/>
          <w:sz w:val="24"/>
          <w:lang w:val="es-PR"/>
        </w:rPr>
        <w:t>EN REVISIÓN DEL MISMO, A PESAR QUE LA NOTIFICACIÓN DEL PROCESAMIENTO DEL PAGO PREVIAMENTE HECHO DEL ARANCEL SE RECIBIÓ ANTES DE TRANSCURRIR EL PRIMER MINUTO DEL PRÓXIMO DÍA, LOS PETICIONARIOS NO FUERON PARTES EN EL PROCESO DE EVALUACIÓN Y EXPEDICIÓN DEL PERMISO, NO FUERON NOTIFICADOS DE SU OTORGAMIENTO Y SÓLO SE ENTERARON DE SU OTORGACIÓN CUATRO (4) DÍAS LABORABLES ANTES DE VENCER DICHO TÉRMINO</w:t>
      </w:r>
      <w:r w:rsidR="00C47169">
        <w:rPr>
          <w:rFonts w:ascii="Arial" w:hAnsi="Arial" w:cs="Arial"/>
          <w:b/>
          <w:bCs/>
          <w:sz w:val="24"/>
          <w:lang w:val="es-PR"/>
        </w:rPr>
        <w:t>.</w:t>
      </w:r>
      <w:r>
        <w:rPr>
          <w:rFonts w:ascii="Arial" w:hAnsi="Arial" w:cs="Arial"/>
          <w:b/>
          <w:bCs/>
          <w:sz w:val="24"/>
          <w:lang w:val="es-PR"/>
        </w:rPr>
        <w:t xml:space="preserve"> </w:t>
      </w:r>
    </w:p>
    <w:p w:rsidR="00867D18" w:rsidRDefault="00867D18" w:rsidP="00867D18">
      <w:pPr>
        <w:pStyle w:val="BodyText"/>
        <w:spacing w:line="240" w:lineRule="auto"/>
        <w:ind w:left="1080"/>
        <w:jc w:val="both"/>
        <w:rPr>
          <w:rFonts w:ascii="Arial" w:hAnsi="Arial" w:cs="Arial"/>
          <w:b/>
          <w:bCs/>
          <w:sz w:val="24"/>
          <w:lang w:val="es-PR"/>
        </w:rPr>
      </w:pPr>
    </w:p>
    <w:p w:rsidR="00867D18" w:rsidRDefault="00C47169" w:rsidP="006757EF">
      <w:pPr>
        <w:pStyle w:val="BodyText"/>
        <w:spacing w:line="240" w:lineRule="auto"/>
        <w:ind w:left="1080"/>
        <w:jc w:val="both"/>
        <w:rPr>
          <w:rFonts w:ascii="Arial" w:hAnsi="Arial" w:cs="Arial"/>
          <w:b/>
          <w:bCs/>
          <w:sz w:val="24"/>
          <w:lang w:val="es-PR"/>
        </w:rPr>
      </w:pPr>
      <w:r w:rsidRPr="00FA6622">
        <w:rPr>
          <w:rFonts w:ascii="Arial" w:hAnsi="Arial" w:cs="Arial"/>
          <w:b/>
          <w:bCs/>
          <w:sz w:val="24"/>
          <w:u w:val="single"/>
          <w:lang w:val="es-PR"/>
        </w:rPr>
        <w:t>SEGUNDO SEÑALAMIENTO DE ERROR</w:t>
      </w:r>
      <w:r>
        <w:rPr>
          <w:rFonts w:ascii="Arial" w:hAnsi="Arial" w:cs="Arial"/>
          <w:b/>
          <w:bCs/>
          <w:sz w:val="24"/>
          <w:lang w:val="es-PR"/>
        </w:rPr>
        <w:t xml:space="preserve">: </w:t>
      </w:r>
      <w:r w:rsidR="00487835">
        <w:rPr>
          <w:rFonts w:ascii="Arial" w:hAnsi="Arial" w:cs="Arial"/>
          <w:b/>
          <w:bCs/>
          <w:sz w:val="24"/>
          <w:lang w:val="es-PR"/>
        </w:rPr>
        <w:t xml:space="preserve">ERRÓ EL HONORABLE TRIBUNAL DE APLEACIONES AL </w:t>
      </w:r>
      <w:r w:rsidR="006757EF">
        <w:rPr>
          <w:rFonts w:ascii="Arial" w:hAnsi="Arial" w:cs="Arial"/>
          <w:b/>
          <w:bCs/>
          <w:sz w:val="24"/>
          <w:lang w:val="es-PR"/>
        </w:rPr>
        <w:t>NO CUMPLIR CON EL MANDAMIENTO DE DECLARAR LA INEXISTENCIA DEL PERMISO IMPUGNADO POR QUE EL MISMO CONTRAVIENE UNA LEY PROHIBITIVA, QUE SEGÚN NUESTRO DERECHO ES UN ACTO NULO.</w:t>
      </w:r>
    </w:p>
    <w:p w:rsidR="00FF1B55" w:rsidRDefault="00FF1B55" w:rsidP="00FF1B55">
      <w:pPr>
        <w:pStyle w:val="BodyText"/>
        <w:spacing w:line="240" w:lineRule="auto"/>
        <w:ind w:left="1080"/>
        <w:jc w:val="both"/>
        <w:rPr>
          <w:rFonts w:ascii="Arial" w:hAnsi="Arial" w:cs="Arial"/>
          <w:b/>
          <w:bCs/>
          <w:sz w:val="24"/>
          <w:lang w:val="es-PR"/>
        </w:rPr>
      </w:pPr>
    </w:p>
    <w:p w:rsidR="008F6C26" w:rsidRDefault="001D2D3E" w:rsidP="001D2D3E">
      <w:pPr>
        <w:pStyle w:val="BodyText"/>
        <w:numPr>
          <w:ilvl w:val="0"/>
          <w:numId w:val="31"/>
        </w:numPr>
        <w:spacing w:line="240" w:lineRule="auto"/>
        <w:ind w:left="720"/>
        <w:jc w:val="both"/>
        <w:rPr>
          <w:rFonts w:ascii="Arial" w:hAnsi="Arial" w:cs="Arial"/>
          <w:b/>
          <w:bCs/>
          <w:sz w:val="24"/>
          <w:lang w:val="es-PR"/>
        </w:rPr>
      </w:pPr>
      <w:r w:rsidRPr="001D2D3E">
        <w:rPr>
          <w:rFonts w:ascii="Arial" w:hAnsi="Arial" w:cs="Arial"/>
          <w:b/>
          <w:bCs/>
          <w:sz w:val="24"/>
          <w:lang w:val="es-PR"/>
        </w:rPr>
        <w:t>DISCUSIÓN DE LOS ERRORES SEÑALADOS</w:t>
      </w:r>
    </w:p>
    <w:p w:rsidR="008F6C26" w:rsidRDefault="008F6C26" w:rsidP="00FF1B55">
      <w:pPr>
        <w:pStyle w:val="BodyText"/>
        <w:spacing w:line="240" w:lineRule="auto"/>
        <w:ind w:left="1080"/>
        <w:jc w:val="both"/>
        <w:rPr>
          <w:rFonts w:ascii="Arial" w:hAnsi="Arial" w:cs="Arial"/>
          <w:b/>
          <w:bCs/>
          <w:sz w:val="24"/>
          <w:lang w:val="es-PR"/>
        </w:rPr>
      </w:pPr>
    </w:p>
    <w:p w:rsidR="006757EF" w:rsidRDefault="006757EF" w:rsidP="006757EF">
      <w:pPr>
        <w:pStyle w:val="BodyText"/>
        <w:spacing w:line="240" w:lineRule="auto"/>
        <w:jc w:val="both"/>
        <w:rPr>
          <w:rFonts w:ascii="Arial" w:hAnsi="Arial" w:cs="Arial"/>
          <w:b/>
          <w:bCs/>
          <w:sz w:val="24"/>
          <w:lang w:val="es-PR"/>
        </w:rPr>
      </w:pPr>
      <w:r w:rsidRPr="00FA6622">
        <w:rPr>
          <w:rFonts w:ascii="Arial" w:hAnsi="Arial" w:cs="Arial"/>
          <w:b/>
          <w:bCs/>
          <w:sz w:val="24"/>
          <w:u w:val="single"/>
          <w:lang w:val="es-PR"/>
        </w:rPr>
        <w:t>PRIMER SEÑALAMIENTO DE ERROR</w:t>
      </w:r>
      <w:r>
        <w:rPr>
          <w:rFonts w:ascii="Arial" w:hAnsi="Arial" w:cs="Arial"/>
          <w:b/>
          <w:bCs/>
          <w:sz w:val="24"/>
          <w:lang w:val="es-PR"/>
        </w:rPr>
        <w:t>: ERRÓ EL HONORABLE TRIBUNAL DE APELACIONES AL CONCLUIR QUE EN ESTE CASO SE CONFIGURAN LOS HECHOS PARA QUE SEA VALIDA LA “NOTIFICACIÓN CONSTRUCCTIVA” DEL PERMISO IMPUGNADO, Y POR LO TANTO LE APLICARA A ESTA PARTE RECURRENTE EL TÉRMINO JURISDICCIONAL DE VEINTE (20) Y TREINTA (30) DÍAS</w:t>
      </w:r>
      <w:r w:rsidRPr="00240185">
        <w:rPr>
          <w:rFonts w:ascii="Arial" w:hAnsi="Arial" w:cs="Arial"/>
          <w:b/>
          <w:bCs/>
          <w:sz w:val="24"/>
          <w:lang w:val="es-PR"/>
        </w:rPr>
        <w:t xml:space="preserve"> </w:t>
      </w:r>
      <w:r>
        <w:rPr>
          <w:rFonts w:ascii="Arial" w:hAnsi="Arial" w:cs="Arial"/>
          <w:b/>
          <w:bCs/>
          <w:sz w:val="24"/>
          <w:lang w:val="es-PR"/>
        </w:rPr>
        <w:t xml:space="preserve">DE OTORGADO DICHO PERMISO, RESPECTIVAMENTE, PARA ACUDIR EN REVISIÓN DEL MISMO, A PESAR QUE LA NOTIFICACIÓN DEL PROCESAMIENTO DEL PAGO PREVIAMENTE HECHO DEL ARANCEL SE RECIBIÓ ANTES DE TRANSCURRIR EL PRIMER MINUTO DEL PRÓXIMO DÍA, LOS PETICIONARIOS NO FUERON PARTES EN EL PROCESO DE EVALUACIÓN Y EXPEDICIÓN DEL PERMISO, NO FUERON NOTIFICADOS DE SU OTORGAMIENTO Y SÓLO SE ENTERARON DE SU OTORGACIÓN CUATRO (4) DÍAS LABORABLES ANTES DE VENCER DICHO TÉRMINO. </w:t>
      </w:r>
    </w:p>
    <w:p w:rsidR="006757EF" w:rsidRDefault="006757EF" w:rsidP="006757EF">
      <w:pPr>
        <w:pStyle w:val="BodyText"/>
        <w:spacing w:line="240" w:lineRule="auto"/>
        <w:jc w:val="both"/>
        <w:rPr>
          <w:rFonts w:ascii="Arial" w:hAnsi="Arial" w:cs="Arial"/>
          <w:b/>
          <w:bCs/>
          <w:sz w:val="24"/>
          <w:lang w:val="es-PR"/>
        </w:rPr>
      </w:pPr>
    </w:p>
    <w:p w:rsidR="006757EF" w:rsidRDefault="006757EF" w:rsidP="006757EF">
      <w:pPr>
        <w:pStyle w:val="BodyText"/>
        <w:tabs>
          <w:tab w:val="left" w:pos="360"/>
        </w:tabs>
        <w:jc w:val="both"/>
        <w:rPr>
          <w:rFonts w:ascii="Arial" w:hAnsi="Arial" w:cs="Arial"/>
          <w:bCs/>
          <w:sz w:val="24"/>
          <w:lang w:val="es-PR"/>
        </w:rPr>
      </w:pPr>
      <w:r>
        <w:rPr>
          <w:rFonts w:ascii="Arial" w:hAnsi="Arial" w:cs="Arial"/>
          <w:bCs/>
          <w:sz w:val="24"/>
          <w:lang w:val="es-PR"/>
        </w:rPr>
        <w:tab/>
      </w:r>
      <w:r w:rsidR="00171C1B">
        <w:rPr>
          <w:rFonts w:ascii="Arial" w:hAnsi="Arial" w:cs="Arial"/>
          <w:bCs/>
          <w:sz w:val="24"/>
          <w:lang w:val="es-PR"/>
        </w:rPr>
        <w:t xml:space="preserve">La Carta de Derechos de la Constitución del Estado Libre Asociado de Puerto Rico establece que “[n]inguna persona será privada de su libertad o propiedad sin el debido proceso de ley, ni se negará a persona alguna en Puerto Rico la igual protección de las leyes”, </w:t>
      </w:r>
      <w:r w:rsidR="00171C1B">
        <w:rPr>
          <w:rFonts w:ascii="Arial" w:hAnsi="Arial" w:cs="Arial"/>
          <w:b/>
          <w:bCs/>
          <w:sz w:val="24"/>
          <w:lang w:val="es-PR"/>
        </w:rPr>
        <w:t>Art. II, sec. 7, Const. E.L.A.</w:t>
      </w:r>
      <w:r w:rsidR="00171C1B">
        <w:rPr>
          <w:rFonts w:ascii="Arial" w:hAnsi="Arial" w:cs="Arial"/>
          <w:bCs/>
          <w:sz w:val="24"/>
          <w:lang w:val="es-PR"/>
        </w:rPr>
        <w:t xml:space="preserve"> De forma similar, la Constitución de los Estados Unidos de Norte América expresa que no podrá nadie ser “privado de su vida, de su libertad o de su propiedad, sin el debido procedimiento de ley”, </w:t>
      </w:r>
      <w:r w:rsidR="00171C1B" w:rsidRPr="00171C1B">
        <w:rPr>
          <w:rFonts w:ascii="Arial" w:hAnsi="Arial" w:cs="Arial"/>
          <w:b/>
          <w:bCs/>
          <w:sz w:val="24"/>
          <w:lang w:val="es-PR"/>
        </w:rPr>
        <w:t>Quinta Enmienda, Const. E.U</w:t>
      </w:r>
      <w:r w:rsidR="00171C1B">
        <w:rPr>
          <w:rFonts w:ascii="Arial" w:hAnsi="Arial" w:cs="Arial"/>
          <w:bCs/>
          <w:sz w:val="24"/>
          <w:lang w:val="es-PR"/>
        </w:rPr>
        <w:t xml:space="preserve">. También dice la última que “ningún estado privará a persona alguna de su vida, de su libertad o de su propiedad, sin el debido procedimiento de ley, ni negará a nadie, dentro de su jurisdicción, la igual protección de las leyes”, </w:t>
      </w:r>
      <w:r w:rsidR="00171C1B" w:rsidRPr="00171C1B">
        <w:rPr>
          <w:rFonts w:ascii="Arial" w:hAnsi="Arial" w:cs="Arial"/>
          <w:b/>
          <w:bCs/>
          <w:sz w:val="24"/>
          <w:lang w:val="es-PR"/>
        </w:rPr>
        <w:t>Catorceava Enmienda, Const. E.U</w:t>
      </w:r>
      <w:r w:rsidR="00171C1B">
        <w:rPr>
          <w:rFonts w:ascii="Arial" w:hAnsi="Arial" w:cs="Arial"/>
          <w:bCs/>
          <w:sz w:val="24"/>
          <w:lang w:val="es-PR"/>
        </w:rPr>
        <w:t>.</w:t>
      </w:r>
    </w:p>
    <w:p w:rsidR="00171C1B" w:rsidRDefault="00171C1B" w:rsidP="006757EF">
      <w:pPr>
        <w:pStyle w:val="BodyText"/>
        <w:tabs>
          <w:tab w:val="left" w:pos="360"/>
        </w:tabs>
        <w:jc w:val="both"/>
        <w:rPr>
          <w:rFonts w:ascii="Arial" w:hAnsi="Arial" w:cs="Arial"/>
          <w:bCs/>
          <w:sz w:val="24"/>
          <w:lang w:val="es-PR"/>
        </w:rPr>
      </w:pPr>
      <w:r>
        <w:rPr>
          <w:rFonts w:ascii="Arial" w:hAnsi="Arial" w:cs="Arial"/>
          <w:bCs/>
          <w:sz w:val="24"/>
          <w:lang w:val="es-PR"/>
        </w:rPr>
        <w:tab/>
      </w:r>
      <w:r w:rsidR="00502B6E">
        <w:rPr>
          <w:rFonts w:ascii="Arial" w:hAnsi="Arial" w:cs="Arial"/>
          <w:bCs/>
          <w:sz w:val="24"/>
          <w:lang w:val="es-PR"/>
        </w:rPr>
        <w:t xml:space="preserve">Ya este Hon. Tribunal Supremo ha establecido que el debido proceso de ley es un derecho fundamental, que “encarna la esencia de nuestro sistema de justicia.”, </w:t>
      </w:r>
      <w:r w:rsidR="00502B6E">
        <w:rPr>
          <w:rFonts w:ascii="Arial" w:hAnsi="Arial" w:cs="Arial"/>
          <w:bCs/>
          <w:sz w:val="24"/>
          <w:u w:val="single"/>
          <w:lang w:val="es-PR"/>
        </w:rPr>
        <w:t>López v Asoc. Taxis de Cayey</w:t>
      </w:r>
      <w:r w:rsidR="00502B6E">
        <w:rPr>
          <w:rFonts w:ascii="Arial" w:hAnsi="Arial" w:cs="Arial"/>
          <w:bCs/>
          <w:sz w:val="24"/>
          <w:lang w:val="es-PR"/>
        </w:rPr>
        <w:t xml:space="preserve">, 142 D.P.R. 109, 113 (1996). </w:t>
      </w:r>
      <w:r w:rsidR="004A02E9">
        <w:rPr>
          <w:rFonts w:ascii="Arial" w:hAnsi="Arial" w:cs="Arial"/>
          <w:bCs/>
          <w:sz w:val="24"/>
          <w:lang w:val="es-PR"/>
        </w:rPr>
        <w:t>El mismo “</w:t>
      </w:r>
      <w:r w:rsidR="004A02E9" w:rsidRPr="004A02E9">
        <w:rPr>
          <w:rFonts w:ascii="Arial" w:hAnsi="Arial" w:cs="Arial"/>
          <w:bCs/>
          <w:sz w:val="24"/>
          <w:lang w:val="es-PR"/>
        </w:rPr>
        <w:t>regula las garantías mínimas que el Estado debe proveer al ciudadano que se le</w:t>
      </w:r>
      <w:r w:rsidR="004A02E9">
        <w:rPr>
          <w:rFonts w:ascii="Arial" w:hAnsi="Arial" w:cs="Arial"/>
          <w:bCs/>
          <w:sz w:val="24"/>
          <w:lang w:val="es-PR"/>
        </w:rPr>
        <w:t xml:space="preserve"> </w:t>
      </w:r>
      <w:r w:rsidR="004A02E9" w:rsidRPr="004A02E9">
        <w:rPr>
          <w:rFonts w:ascii="Arial" w:hAnsi="Arial" w:cs="Arial"/>
          <w:bCs/>
          <w:sz w:val="24"/>
          <w:lang w:val="es-PR"/>
        </w:rPr>
        <w:t xml:space="preserve">está afectando su vida, libertad o propiedad”, </w:t>
      </w:r>
      <w:r w:rsidR="004A02E9" w:rsidRPr="004A02E9">
        <w:rPr>
          <w:rFonts w:ascii="Arial" w:hAnsi="Arial" w:cs="Arial"/>
          <w:bCs/>
          <w:sz w:val="24"/>
          <w:u w:val="single"/>
          <w:lang w:val="es-PR"/>
        </w:rPr>
        <w:t>Torres Rivera v Policía de Puerto Rico</w:t>
      </w:r>
      <w:r w:rsidR="004A02E9" w:rsidRPr="004A02E9">
        <w:rPr>
          <w:rFonts w:ascii="Arial" w:hAnsi="Arial" w:cs="Arial"/>
          <w:bCs/>
          <w:sz w:val="24"/>
          <w:lang w:val="es-PR"/>
        </w:rPr>
        <w:t xml:space="preserve">, 2016 T.S.P.R. 224, pág. </w:t>
      </w:r>
      <w:r w:rsidR="004A02E9">
        <w:rPr>
          <w:rFonts w:ascii="Arial" w:hAnsi="Arial" w:cs="Arial"/>
          <w:bCs/>
          <w:sz w:val="24"/>
          <w:lang w:val="es-PR"/>
        </w:rPr>
        <w:t>19-20.</w:t>
      </w:r>
      <w:r w:rsidR="004A02E9" w:rsidRPr="004A02E9">
        <w:rPr>
          <w:rFonts w:ascii="Arial" w:hAnsi="Arial" w:cs="Arial"/>
          <w:bCs/>
          <w:sz w:val="24"/>
          <w:lang w:val="es-PR"/>
        </w:rPr>
        <w:t xml:space="preserve"> </w:t>
      </w:r>
      <w:r w:rsidR="00502B6E">
        <w:rPr>
          <w:rFonts w:ascii="Arial" w:hAnsi="Arial" w:cs="Arial"/>
          <w:bCs/>
          <w:sz w:val="24"/>
          <w:lang w:val="es-PR"/>
        </w:rPr>
        <w:t xml:space="preserve">Este se define como el “derecho de toda persona a tener un proceso justo y con todas las garantías que ofrece la ley, tanto en el ámbito judicial como en el administrativo”, </w:t>
      </w:r>
      <w:r w:rsidR="00502B6E" w:rsidRPr="00502B6E">
        <w:rPr>
          <w:rFonts w:ascii="Arial" w:hAnsi="Arial" w:cs="Arial"/>
          <w:bCs/>
          <w:sz w:val="24"/>
          <w:u w:val="single"/>
          <w:lang w:val="es-PR"/>
        </w:rPr>
        <w:t xml:space="preserve">Aut. </w:t>
      </w:r>
      <w:r w:rsidR="00502B6E">
        <w:rPr>
          <w:rFonts w:ascii="Arial" w:hAnsi="Arial" w:cs="Arial"/>
          <w:bCs/>
          <w:sz w:val="24"/>
          <w:u w:val="single"/>
          <w:lang w:val="es-PR"/>
        </w:rPr>
        <w:t xml:space="preserve">de </w:t>
      </w:r>
      <w:r w:rsidR="00502B6E" w:rsidRPr="00502B6E">
        <w:rPr>
          <w:rFonts w:ascii="Arial" w:hAnsi="Arial" w:cs="Arial"/>
          <w:bCs/>
          <w:sz w:val="24"/>
          <w:u w:val="single"/>
          <w:lang w:val="es-PR"/>
        </w:rPr>
        <w:t>Puertos v HEO</w:t>
      </w:r>
      <w:r w:rsidR="00502B6E">
        <w:rPr>
          <w:rFonts w:ascii="Arial" w:hAnsi="Arial" w:cs="Arial"/>
          <w:bCs/>
          <w:sz w:val="24"/>
          <w:lang w:val="es-PR"/>
        </w:rPr>
        <w:t>, 186 D.P.R. 417, 428 (2012). “[P]</w:t>
      </w:r>
      <w:r w:rsidR="00502B6E" w:rsidRPr="00502B6E">
        <w:rPr>
          <w:rFonts w:ascii="Arial" w:hAnsi="Arial" w:cs="Arial"/>
          <w:bCs/>
          <w:sz w:val="24"/>
          <w:lang w:val="es-PR"/>
        </w:rPr>
        <w:t>ara garantizar las exigencias mínimas de un debido proceso de ley en su vertiente procesal es fundamental cumplir con estos requisitos: (1) notificación adecuada del proceso; (2) proceso ante un juez imparcial; (3) oportunidad de ser oído; (4) derecho a contrainterrogar a los testigos y examinar la evidencia presentada en su contra; (5) tener asistencia de abogado, y (6) que la decisión se base en el expediente</w:t>
      </w:r>
      <w:r w:rsidR="00502B6E">
        <w:rPr>
          <w:rFonts w:ascii="Arial" w:hAnsi="Arial" w:cs="Arial"/>
          <w:bCs/>
          <w:sz w:val="24"/>
          <w:lang w:val="es-PR"/>
        </w:rPr>
        <w:t xml:space="preserve">.”, </w:t>
      </w:r>
      <w:r w:rsidR="00502B6E" w:rsidRPr="00502B6E">
        <w:rPr>
          <w:rFonts w:ascii="Arial" w:hAnsi="Arial" w:cs="Arial"/>
          <w:bCs/>
          <w:sz w:val="24"/>
          <w:u w:val="single"/>
          <w:lang w:val="es-PR"/>
        </w:rPr>
        <w:t>Torres Rivera v Policía de Puerto Rico</w:t>
      </w:r>
      <w:r w:rsidR="00502B6E">
        <w:rPr>
          <w:rFonts w:ascii="Arial" w:hAnsi="Arial" w:cs="Arial"/>
          <w:bCs/>
          <w:sz w:val="24"/>
          <w:lang w:val="es-PR"/>
        </w:rPr>
        <w:t xml:space="preserve">, </w:t>
      </w:r>
      <w:r w:rsidR="004A02E9">
        <w:rPr>
          <w:rFonts w:ascii="Arial" w:hAnsi="Arial" w:cs="Arial"/>
          <w:bCs/>
          <w:i/>
          <w:sz w:val="24"/>
          <w:lang w:val="es-PR"/>
        </w:rPr>
        <w:t>supra</w:t>
      </w:r>
      <w:r w:rsidR="00502B6E">
        <w:rPr>
          <w:rFonts w:ascii="Arial" w:hAnsi="Arial" w:cs="Arial"/>
          <w:bCs/>
          <w:sz w:val="24"/>
          <w:lang w:val="es-PR"/>
        </w:rPr>
        <w:t>, pág. 21.</w:t>
      </w:r>
    </w:p>
    <w:p w:rsidR="00502B6E" w:rsidRDefault="00502B6E" w:rsidP="00695933">
      <w:pPr>
        <w:pStyle w:val="BodyText"/>
        <w:tabs>
          <w:tab w:val="left" w:pos="360"/>
        </w:tabs>
        <w:jc w:val="both"/>
        <w:rPr>
          <w:rFonts w:ascii="Arial" w:hAnsi="Arial" w:cs="Arial"/>
          <w:bCs/>
          <w:sz w:val="24"/>
          <w:lang w:val="es-PR"/>
        </w:rPr>
      </w:pPr>
      <w:r>
        <w:rPr>
          <w:rFonts w:ascii="Arial" w:hAnsi="Arial" w:cs="Arial"/>
          <w:bCs/>
          <w:sz w:val="24"/>
          <w:lang w:val="es-PR"/>
        </w:rPr>
        <w:tab/>
        <w:t xml:space="preserve">Dice la </w:t>
      </w:r>
      <w:r>
        <w:rPr>
          <w:rFonts w:ascii="Arial" w:hAnsi="Arial" w:cs="Arial"/>
          <w:b/>
          <w:bCs/>
          <w:sz w:val="24"/>
          <w:lang w:val="es-PR"/>
        </w:rPr>
        <w:t xml:space="preserve">Ley de Procedimiento Administrativo Uniforme, </w:t>
      </w:r>
      <w:r>
        <w:rPr>
          <w:rFonts w:ascii="Arial" w:hAnsi="Arial" w:cs="Arial"/>
          <w:b/>
          <w:bCs/>
          <w:i/>
          <w:sz w:val="24"/>
          <w:lang w:val="es-PR"/>
        </w:rPr>
        <w:t>supra</w:t>
      </w:r>
      <w:r>
        <w:rPr>
          <w:rFonts w:ascii="Arial" w:hAnsi="Arial" w:cs="Arial"/>
          <w:bCs/>
          <w:sz w:val="24"/>
          <w:lang w:val="es-PR"/>
        </w:rPr>
        <w:t>, que “</w:t>
      </w:r>
      <w:r w:rsidR="00695933">
        <w:rPr>
          <w:rFonts w:ascii="Arial" w:hAnsi="Arial" w:cs="Arial"/>
          <w:bCs/>
          <w:sz w:val="24"/>
          <w:lang w:val="es-PR"/>
        </w:rPr>
        <w:t>[e]</w:t>
      </w:r>
      <w:r w:rsidR="00695933" w:rsidRPr="00695933">
        <w:rPr>
          <w:rFonts w:ascii="Arial" w:hAnsi="Arial" w:cs="Arial"/>
          <w:bCs/>
          <w:sz w:val="24"/>
          <w:lang w:val="es-PR"/>
        </w:rPr>
        <w:t>sta Ley se aplicará a todos los procedimientos administrativos conducidos ante todas las agencias que no están expresamente exceptuados por el mismo.</w:t>
      </w:r>
      <w:r w:rsidR="00695933">
        <w:rPr>
          <w:rFonts w:ascii="Arial" w:hAnsi="Arial" w:cs="Arial"/>
          <w:bCs/>
          <w:sz w:val="24"/>
          <w:lang w:val="es-PR"/>
        </w:rPr>
        <w:t xml:space="preserve">”, </w:t>
      </w:r>
      <w:r w:rsidR="00695933">
        <w:rPr>
          <w:rFonts w:ascii="Arial" w:hAnsi="Arial" w:cs="Arial"/>
          <w:b/>
          <w:bCs/>
          <w:sz w:val="24"/>
          <w:lang w:val="es-PR"/>
        </w:rPr>
        <w:t xml:space="preserve">sec. 1.4, Ley Núm. 38, </w:t>
      </w:r>
      <w:r w:rsidR="00695933">
        <w:rPr>
          <w:rFonts w:ascii="Arial" w:hAnsi="Arial" w:cs="Arial"/>
          <w:b/>
          <w:bCs/>
          <w:i/>
          <w:sz w:val="24"/>
          <w:lang w:val="es-PR"/>
        </w:rPr>
        <w:t>ante</w:t>
      </w:r>
      <w:r w:rsidR="00695933">
        <w:rPr>
          <w:rFonts w:ascii="Arial" w:hAnsi="Arial" w:cs="Arial"/>
          <w:bCs/>
          <w:sz w:val="24"/>
          <w:lang w:val="es-PR"/>
        </w:rPr>
        <w:t xml:space="preserve">. La OGPe </w:t>
      </w:r>
      <w:r w:rsidR="00695933" w:rsidRPr="00695933">
        <w:rPr>
          <w:rFonts w:ascii="Arial" w:hAnsi="Arial" w:cs="Arial"/>
          <w:bCs/>
          <w:sz w:val="24"/>
          <w:lang w:val="es-PR"/>
        </w:rPr>
        <w:t>no está exceptuada de cumplir con la antedicha Ley, al contrario, según expresa la ley habilitadora de la OGPe, “</w:t>
      </w:r>
      <w:r w:rsidR="00695933">
        <w:rPr>
          <w:rFonts w:ascii="Arial" w:hAnsi="Arial" w:cs="Arial"/>
          <w:bCs/>
          <w:sz w:val="24"/>
          <w:lang w:val="es-PR"/>
        </w:rPr>
        <w:t>[l]</w:t>
      </w:r>
      <w:r w:rsidR="00695933" w:rsidRPr="00695933">
        <w:rPr>
          <w:rFonts w:ascii="Arial" w:hAnsi="Arial" w:cs="Arial"/>
          <w:bCs/>
          <w:sz w:val="24"/>
          <w:lang w:val="es-PR"/>
        </w:rPr>
        <w:t>a Ley de Procedimiento Administrativo Uniforme será de aplicación a todos los</w:t>
      </w:r>
      <w:r w:rsidR="00695933">
        <w:rPr>
          <w:rFonts w:ascii="Arial" w:hAnsi="Arial" w:cs="Arial"/>
          <w:bCs/>
          <w:sz w:val="24"/>
          <w:lang w:val="es-PR"/>
        </w:rPr>
        <w:t xml:space="preserve"> </w:t>
      </w:r>
      <w:r w:rsidR="00695933" w:rsidRPr="00695933">
        <w:rPr>
          <w:rFonts w:ascii="Arial" w:hAnsi="Arial" w:cs="Arial"/>
          <w:bCs/>
          <w:sz w:val="24"/>
          <w:lang w:val="es-PR"/>
        </w:rPr>
        <w:t>procedimientos para la evaluación, el otorgamiento o la denegación de determinaciones finales y</w:t>
      </w:r>
      <w:r w:rsidR="00695933">
        <w:rPr>
          <w:rFonts w:ascii="Arial" w:hAnsi="Arial" w:cs="Arial"/>
          <w:bCs/>
          <w:sz w:val="24"/>
          <w:lang w:val="es-PR"/>
        </w:rPr>
        <w:t xml:space="preserve"> </w:t>
      </w:r>
      <w:r w:rsidR="00695933" w:rsidRPr="00695933">
        <w:rPr>
          <w:rFonts w:ascii="Arial" w:hAnsi="Arial" w:cs="Arial"/>
          <w:bCs/>
          <w:sz w:val="24"/>
          <w:lang w:val="es-PR"/>
        </w:rPr>
        <w:t>permisos</w:t>
      </w:r>
      <w:r w:rsidR="00695933">
        <w:rPr>
          <w:rFonts w:ascii="Arial" w:hAnsi="Arial" w:cs="Arial"/>
          <w:bCs/>
          <w:sz w:val="24"/>
          <w:lang w:val="es-PR"/>
        </w:rPr>
        <w:t>…</w:t>
      </w:r>
      <w:r w:rsidR="00695933" w:rsidRPr="00695933">
        <w:rPr>
          <w:rFonts w:ascii="Arial" w:hAnsi="Arial" w:cs="Arial"/>
          <w:bCs/>
          <w:sz w:val="24"/>
          <w:lang w:val="es-PR"/>
        </w:rPr>
        <w:t xml:space="preserve"> o cualquier otra</w:t>
      </w:r>
      <w:r w:rsidR="00695933">
        <w:rPr>
          <w:rFonts w:ascii="Arial" w:hAnsi="Arial" w:cs="Arial"/>
          <w:bCs/>
          <w:sz w:val="24"/>
          <w:lang w:val="es-PR"/>
        </w:rPr>
        <w:t xml:space="preserve"> </w:t>
      </w:r>
      <w:r w:rsidR="00695933" w:rsidRPr="00695933">
        <w:rPr>
          <w:rFonts w:ascii="Arial" w:hAnsi="Arial" w:cs="Arial"/>
          <w:bCs/>
          <w:sz w:val="24"/>
          <w:lang w:val="es-PR"/>
        </w:rPr>
        <w:t>autorización similar otorgada por la Oficina de Gerencia de Permisos</w:t>
      </w:r>
      <w:r w:rsidR="00695933">
        <w:rPr>
          <w:rFonts w:ascii="Arial" w:hAnsi="Arial" w:cs="Arial"/>
          <w:bCs/>
          <w:sz w:val="24"/>
          <w:lang w:val="es-PR"/>
        </w:rPr>
        <w:t xml:space="preserve">…”, </w:t>
      </w:r>
      <w:r w:rsidR="00695933">
        <w:rPr>
          <w:rFonts w:ascii="Arial" w:hAnsi="Arial" w:cs="Arial"/>
          <w:b/>
          <w:bCs/>
          <w:sz w:val="24"/>
          <w:lang w:val="es-PR"/>
        </w:rPr>
        <w:t xml:space="preserve">art. 18.6, Ley Núm. 161, </w:t>
      </w:r>
      <w:r w:rsidR="00695933">
        <w:rPr>
          <w:rFonts w:ascii="Arial" w:hAnsi="Arial" w:cs="Arial"/>
          <w:b/>
          <w:bCs/>
          <w:i/>
          <w:sz w:val="24"/>
          <w:lang w:val="es-PR"/>
        </w:rPr>
        <w:t>supra</w:t>
      </w:r>
      <w:r w:rsidR="00695933">
        <w:rPr>
          <w:rFonts w:ascii="Arial" w:hAnsi="Arial" w:cs="Arial"/>
          <w:bCs/>
          <w:sz w:val="24"/>
          <w:lang w:val="es-PR"/>
        </w:rPr>
        <w:t xml:space="preserve">. </w:t>
      </w:r>
    </w:p>
    <w:p w:rsidR="00695933" w:rsidRDefault="00695933" w:rsidP="00695933">
      <w:pPr>
        <w:pStyle w:val="BodyText"/>
        <w:tabs>
          <w:tab w:val="left" w:pos="360"/>
        </w:tabs>
        <w:jc w:val="both"/>
        <w:rPr>
          <w:rFonts w:ascii="Arial" w:hAnsi="Arial" w:cs="Arial"/>
          <w:bCs/>
          <w:sz w:val="24"/>
          <w:lang w:val="es-PR"/>
        </w:rPr>
      </w:pPr>
      <w:r>
        <w:rPr>
          <w:rFonts w:ascii="Arial" w:hAnsi="Arial" w:cs="Arial"/>
          <w:bCs/>
          <w:sz w:val="24"/>
          <w:lang w:val="es-PR"/>
        </w:rPr>
        <w:tab/>
        <w:t>Entonces, e</w:t>
      </w:r>
      <w:r w:rsidRPr="00695933">
        <w:rPr>
          <w:rFonts w:ascii="Arial" w:hAnsi="Arial" w:cs="Arial"/>
          <w:bCs/>
          <w:sz w:val="24"/>
          <w:lang w:val="es-PR"/>
        </w:rPr>
        <w:t>n lo referente al proceso de revisión de decisiones administrativas de la OGPe, dice la anterior Ley que “</w:t>
      </w:r>
      <w:r>
        <w:rPr>
          <w:rFonts w:ascii="Arial" w:hAnsi="Arial" w:cs="Arial"/>
          <w:bCs/>
          <w:sz w:val="24"/>
          <w:lang w:val="es-PR"/>
        </w:rPr>
        <w:t>[u]</w:t>
      </w:r>
      <w:r w:rsidRPr="00695933">
        <w:rPr>
          <w:rFonts w:ascii="Arial" w:hAnsi="Arial" w:cs="Arial"/>
          <w:bCs/>
          <w:sz w:val="24"/>
          <w:lang w:val="es-PR"/>
        </w:rPr>
        <w:t xml:space="preserve">na </w:t>
      </w:r>
      <w:r w:rsidRPr="00695933">
        <w:rPr>
          <w:rFonts w:ascii="Arial" w:hAnsi="Arial" w:cs="Arial"/>
          <w:b/>
          <w:bCs/>
          <w:sz w:val="24"/>
          <w:u w:val="single"/>
          <w:lang w:val="es-PR"/>
        </w:rPr>
        <w:t>parte</w:t>
      </w:r>
      <w:r w:rsidRPr="00695933">
        <w:rPr>
          <w:rFonts w:ascii="Arial" w:hAnsi="Arial" w:cs="Arial"/>
          <w:bCs/>
          <w:sz w:val="24"/>
          <w:lang w:val="es-PR"/>
        </w:rPr>
        <w:t xml:space="preserve"> adversamente afectada por una actuación o determinación final de la Oficina de</w:t>
      </w:r>
      <w:r>
        <w:rPr>
          <w:rFonts w:ascii="Arial" w:hAnsi="Arial" w:cs="Arial"/>
          <w:bCs/>
          <w:sz w:val="24"/>
          <w:lang w:val="es-PR"/>
        </w:rPr>
        <w:t xml:space="preserve"> </w:t>
      </w:r>
      <w:r w:rsidRPr="00695933">
        <w:rPr>
          <w:rFonts w:ascii="Arial" w:hAnsi="Arial" w:cs="Arial"/>
          <w:bCs/>
          <w:sz w:val="24"/>
          <w:lang w:val="es-PR"/>
        </w:rPr>
        <w:t>Gerencia de Permisos</w:t>
      </w:r>
      <w:r>
        <w:rPr>
          <w:rFonts w:ascii="Arial" w:hAnsi="Arial" w:cs="Arial"/>
          <w:bCs/>
          <w:sz w:val="24"/>
          <w:lang w:val="es-PR"/>
        </w:rPr>
        <w:t>…</w:t>
      </w:r>
      <w:r w:rsidRPr="00695933">
        <w:rPr>
          <w:rFonts w:ascii="Arial" w:hAnsi="Arial" w:cs="Arial"/>
          <w:bCs/>
          <w:sz w:val="24"/>
          <w:lang w:val="es-PR"/>
        </w:rPr>
        <w:t xml:space="preserve"> podrá presentar una solicitud de revisión administrativa</w:t>
      </w:r>
      <w:r>
        <w:rPr>
          <w:rFonts w:ascii="Arial" w:hAnsi="Arial" w:cs="Arial"/>
          <w:bCs/>
          <w:sz w:val="24"/>
          <w:lang w:val="es-PR"/>
        </w:rPr>
        <w:t xml:space="preserve"> </w:t>
      </w:r>
      <w:r w:rsidRPr="00695933">
        <w:rPr>
          <w:rFonts w:ascii="Arial" w:hAnsi="Arial" w:cs="Arial"/>
          <w:bCs/>
          <w:sz w:val="24"/>
          <w:lang w:val="es-PR"/>
        </w:rPr>
        <w:t>ante la División de Revisiones Administrativas, dentro del término jurisdiccional de veinte (20)</w:t>
      </w:r>
      <w:r>
        <w:rPr>
          <w:rFonts w:ascii="Arial" w:hAnsi="Arial" w:cs="Arial"/>
          <w:bCs/>
          <w:sz w:val="24"/>
          <w:lang w:val="es-PR"/>
        </w:rPr>
        <w:t xml:space="preserve"> </w:t>
      </w:r>
      <w:r w:rsidRPr="00695933">
        <w:rPr>
          <w:rFonts w:ascii="Arial" w:hAnsi="Arial" w:cs="Arial"/>
          <w:bCs/>
          <w:sz w:val="24"/>
          <w:lang w:val="es-PR"/>
        </w:rPr>
        <w:t>días contados a partir de la fecha de archivo en autos, de copia de la notificación de la actuación o</w:t>
      </w:r>
      <w:r>
        <w:rPr>
          <w:rFonts w:ascii="Arial" w:hAnsi="Arial" w:cs="Arial"/>
          <w:bCs/>
          <w:sz w:val="24"/>
          <w:lang w:val="es-PR"/>
        </w:rPr>
        <w:t xml:space="preserve"> </w:t>
      </w:r>
      <w:r w:rsidRPr="00695933">
        <w:rPr>
          <w:rFonts w:ascii="Arial" w:hAnsi="Arial" w:cs="Arial"/>
          <w:bCs/>
          <w:sz w:val="24"/>
          <w:lang w:val="es-PR"/>
        </w:rPr>
        <w:t>determinación final.</w:t>
      </w:r>
      <w:r>
        <w:rPr>
          <w:rFonts w:ascii="Arial" w:hAnsi="Arial" w:cs="Arial"/>
          <w:bCs/>
          <w:sz w:val="24"/>
          <w:lang w:val="es-PR"/>
        </w:rPr>
        <w:t>”</w:t>
      </w:r>
      <w:r w:rsidR="004A02E9">
        <w:rPr>
          <w:rFonts w:ascii="Arial" w:hAnsi="Arial" w:cs="Arial"/>
          <w:bCs/>
          <w:sz w:val="24"/>
          <w:lang w:val="es-PR"/>
        </w:rPr>
        <w:t xml:space="preserve"> (énfasis suplido)</w:t>
      </w:r>
      <w:r>
        <w:rPr>
          <w:rFonts w:ascii="Arial" w:hAnsi="Arial" w:cs="Arial"/>
          <w:bCs/>
          <w:sz w:val="24"/>
          <w:lang w:val="es-PR"/>
        </w:rPr>
        <w:t xml:space="preserve">, </w:t>
      </w:r>
      <w:r>
        <w:rPr>
          <w:rFonts w:ascii="Arial" w:hAnsi="Arial" w:cs="Arial"/>
          <w:b/>
          <w:bCs/>
          <w:sz w:val="24"/>
          <w:lang w:val="es-PR"/>
        </w:rPr>
        <w:t xml:space="preserve">art. 11.6, </w:t>
      </w:r>
      <w:r>
        <w:rPr>
          <w:rFonts w:ascii="Arial" w:hAnsi="Arial" w:cs="Arial"/>
          <w:b/>
          <w:bCs/>
          <w:i/>
          <w:sz w:val="24"/>
          <w:lang w:val="es-PR"/>
        </w:rPr>
        <w:t>ante</w:t>
      </w:r>
      <w:r>
        <w:rPr>
          <w:rFonts w:ascii="Arial" w:hAnsi="Arial" w:cs="Arial"/>
          <w:bCs/>
          <w:sz w:val="24"/>
          <w:lang w:val="es-PR"/>
        </w:rPr>
        <w:t>. En las definiciones de la Ley, “parte”, es “según definida por la [</w:t>
      </w:r>
      <w:r>
        <w:rPr>
          <w:rFonts w:ascii="Arial" w:hAnsi="Arial" w:cs="Arial"/>
          <w:b/>
          <w:bCs/>
          <w:sz w:val="24"/>
          <w:lang w:val="es-PR"/>
        </w:rPr>
        <w:t xml:space="preserve">Ley Núm. 38, </w:t>
      </w:r>
      <w:r>
        <w:rPr>
          <w:rFonts w:ascii="Arial" w:hAnsi="Arial" w:cs="Arial"/>
          <w:b/>
          <w:bCs/>
          <w:i/>
          <w:sz w:val="24"/>
          <w:lang w:val="es-PR"/>
        </w:rPr>
        <w:t>supra</w:t>
      </w:r>
      <w:r>
        <w:rPr>
          <w:rFonts w:ascii="Arial" w:hAnsi="Arial" w:cs="Arial"/>
          <w:bCs/>
          <w:sz w:val="24"/>
          <w:lang w:val="es-PR"/>
        </w:rPr>
        <w:t xml:space="preserve">]”, </w:t>
      </w:r>
      <w:r>
        <w:rPr>
          <w:rFonts w:ascii="Arial" w:hAnsi="Arial" w:cs="Arial"/>
          <w:b/>
          <w:bCs/>
          <w:sz w:val="24"/>
          <w:lang w:val="es-PR"/>
        </w:rPr>
        <w:t xml:space="preserve">art. 1.5(56), </w:t>
      </w:r>
      <w:r>
        <w:rPr>
          <w:rFonts w:ascii="Arial" w:hAnsi="Arial" w:cs="Arial"/>
          <w:b/>
          <w:bCs/>
          <w:i/>
          <w:sz w:val="24"/>
          <w:lang w:val="es-PR"/>
        </w:rPr>
        <w:t>ante</w:t>
      </w:r>
      <w:r>
        <w:rPr>
          <w:rFonts w:ascii="Arial" w:hAnsi="Arial" w:cs="Arial"/>
          <w:bCs/>
          <w:sz w:val="24"/>
          <w:lang w:val="es-PR"/>
        </w:rPr>
        <w:t xml:space="preserve">. Entonces, define la </w:t>
      </w:r>
      <w:r>
        <w:rPr>
          <w:rFonts w:ascii="Arial" w:hAnsi="Arial" w:cs="Arial"/>
          <w:b/>
          <w:bCs/>
          <w:sz w:val="24"/>
          <w:lang w:val="es-PR"/>
        </w:rPr>
        <w:t xml:space="preserve">Ley Núm. 38, </w:t>
      </w:r>
      <w:r>
        <w:rPr>
          <w:rFonts w:ascii="Arial" w:hAnsi="Arial" w:cs="Arial"/>
          <w:b/>
          <w:bCs/>
          <w:i/>
          <w:sz w:val="24"/>
          <w:lang w:val="es-PR"/>
        </w:rPr>
        <w:t>supra</w:t>
      </w:r>
      <w:r w:rsidR="00104FE9">
        <w:rPr>
          <w:rFonts w:ascii="Arial" w:hAnsi="Arial" w:cs="Arial"/>
          <w:bCs/>
          <w:sz w:val="24"/>
          <w:lang w:val="es-PR"/>
        </w:rPr>
        <w:t>, “parte” como que “[s]</w:t>
      </w:r>
      <w:r w:rsidR="00104FE9" w:rsidRPr="00104FE9">
        <w:rPr>
          <w:rFonts w:ascii="Arial" w:hAnsi="Arial" w:cs="Arial"/>
          <w:bCs/>
          <w:sz w:val="24"/>
          <w:lang w:val="es-PR"/>
        </w:rPr>
        <w:t xml:space="preserve">ignifica toda persona o agencia autorizada por ley </w:t>
      </w:r>
      <w:r w:rsidR="00104FE9" w:rsidRPr="00104FE9">
        <w:rPr>
          <w:rFonts w:ascii="Arial" w:hAnsi="Arial" w:cs="Arial"/>
          <w:bCs/>
          <w:sz w:val="24"/>
          <w:u w:val="single"/>
          <w:lang w:val="es-PR"/>
        </w:rPr>
        <w:t>a quien se dirija específicamente la acción</w:t>
      </w:r>
      <w:r w:rsidR="00104FE9" w:rsidRPr="00104FE9">
        <w:rPr>
          <w:rFonts w:ascii="Arial" w:hAnsi="Arial" w:cs="Arial"/>
          <w:bCs/>
          <w:sz w:val="24"/>
          <w:lang w:val="es-PR"/>
        </w:rPr>
        <w:t xml:space="preserve"> de una agencia </w:t>
      </w:r>
      <w:r w:rsidR="00104FE9" w:rsidRPr="00104FE9">
        <w:rPr>
          <w:rFonts w:ascii="Arial" w:hAnsi="Arial" w:cs="Arial"/>
          <w:bCs/>
          <w:sz w:val="24"/>
          <w:u w:val="single"/>
          <w:lang w:val="es-PR"/>
        </w:rPr>
        <w:t>o que sea parte en dicha acción</w:t>
      </w:r>
      <w:r w:rsidR="00104FE9" w:rsidRPr="00104FE9">
        <w:rPr>
          <w:rFonts w:ascii="Arial" w:hAnsi="Arial" w:cs="Arial"/>
          <w:bCs/>
          <w:sz w:val="24"/>
          <w:lang w:val="es-PR"/>
        </w:rPr>
        <w:t xml:space="preserve">, </w:t>
      </w:r>
      <w:r w:rsidR="00104FE9" w:rsidRPr="00104FE9">
        <w:rPr>
          <w:rFonts w:ascii="Arial" w:hAnsi="Arial" w:cs="Arial"/>
          <w:bCs/>
          <w:sz w:val="24"/>
          <w:u w:val="single"/>
          <w:lang w:val="es-PR"/>
        </w:rPr>
        <w:t>o que se le permita intervenir o participar</w:t>
      </w:r>
      <w:r w:rsidR="00104FE9" w:rsidRPr="00104FE9">
        <w:rPr>
          <w:rFonts w:ascii="Arial" w:hAnsi="Arial" w:cs="Arial"/>
          <w:bCs/>
          <w:sz w:val="24"/>
          <w:lang w:val="es-PR"/>
        </w:rPr>
        <w:t xml:space="preserve"> en la misma, </w:t>
      </w:r>
      <w:r w:rsidR="00104FE9" w:rsidRPr="00104FE9">
        <w:rPr>
          <w:rFonts w:ascii="Arial" w:hAnsi="Arial" w:cs="Arial"/>
          <w:bCs/>
          <w:sz w:val="24"/>
          <w:u w:val="single"/>
          <w:lang w:val="es-PR"/>
        </w:rPr>
        <w:t>o que haya radicado una petición para la revisión</w:t>
      </w:r>
      <w:r w:rsidR="00104FE9" w:rsidRPr="00104FE9">
        <w:rPr>
          <w:rFonts w:ascii="Arial" w:hAnsi="Arial" w:cs="Arial"/>
          <w:bCs/>
          <w:sz w:val="24"/>
          <w:lang w:val="es-PR"/>
        </w:rPr>
        <w:t xml:space="preserve"> o cumplimiento de una orden, </w:t>
      </w:r>
      <w:r w:rsidR="00104FE9" w:rsidRPr="00104FE9">
        <w:rPr>
          <w:rFonts w:ascii="Arial" w:hAnsi="Arial" w:cs="Arial"/>
          <w:bCs/>
          <w:sz w:val="24"/>
          <w:u w:val="single"/>
          <w:lang w:val="es-PR"/>
        </w:rPr>
        <w:t>o que sea designada como parte</w:t>
      </w:r>
      <w:r w:rsidR="00104FE9" w:rsidRPr="00104FE9">
        <w:rPr>
          <w:rFonts w:ascii="Arial" w:hAnsi="Arial" w:cs="Arial"/>
          <w:bCs/>
          <w:sz w:val="24"/>
          <w:lang w:val="es-PR"/>
        </w:rPr>
        <w:t xml:space="preserve"> en dicho procedimiento</w:t>
      </w:r>
      <w:r w:rsidR="00104FE9">
        <w:rPr>
          <w:rFonts w:ascii="Arial" w:hAnsi="Arial" w:cs="Arial"/>
          <w:bCs/>
          <w:sz w:val="24"/>
          <w:lang w:val="es-PR"/>
        </w:rPr>
        <w:t>.”</w:t>
      </w:r>
      <w:r w:rsidR="004A02E9">
        <w:rPr>
          <w:rFonts w:ascii="Arial" w:hAnsi="Arial" w:cs="Arial"/>
          <w:bCs/>
          <w:sz w:val="24"/>
          <w:lang w:val="es-PR"/>
        </w:rPr>
        <w:t>(énfasis suplido)</w:t>
      </w:r>
      <w:r w:rsidR="00104FE9">
        <w:rPr>
          <w:rFonts w:ascii="Arial" w:hAnsi="Arial" w:cs="Arial"/>
          <w:bCs/>
          <w:sz w:val="24"/>
          <w:lang w:val="es-PR"/>
        </w:rPr>
        <w:t xml:space="preserve">, </w:t>
      </w:r>
      <w:r w:rsidR="00104FE9">
        <w:rPr>
          <w:rFonts w:ascii="Arial" w:hAnsi="Arial" w:cs="Arial"/>
          <w:b/>
          <w:bCs/>
          <w:sz w:val="24"/>
          <w:lang w:val="es-PR"/>
        </w:rPr>
        <w:t xml:space="preserve">sec. 1.3(k), </w:t>
      </w:r>
      <w:r w:rsidR="00104FE9">
        <w:rPr>
          <w:rFonts w:ascii="Arial" w:hAnsi="Arial" w:cs="Arial"/>
          <w:b/>
          <w:bCs/>
          <w:i/>
          <w:sz w:val="24"/>
          <w:lang w:val="es-PR"/>
        </w:rPr>
        <w:t>supra</w:t>
      </w:r>
      <w:r w:rsidR="00104FE9">
        <w:rPr>
          <w:rFonts w:ascii="Arial" w:hAnsi="Arial" w:cs="Arial"/>
          <w:bCs/>
          <w:sz w:val="24"/>
          <w:lang w:val="es-PR"/>
        </w:rPr>
        <w:t>.</w:t>
      </w:r>
    </w:p>
    <w:p w:rsidR="004A02E9" w:rsidRDefault="004A02E9" w:rsidP="00695933">
      <w:pPr>
        <w:pStyle w:val="BodyText"/>
        <w:tabs>
          <w:tab w:val="left" w:pos="360"/>
        </w:tabs>
        <w:jc w:val="both"/>
        <w:rPr>
          <w:rFonts w:ascii="Arial" w:hAnsi="Arial" w:cs="Arial"/>
          <w:bCs/>
          <w:sz w:val="24"/>
          <w:lang w:val="es-PR"/>
        </w:rPr>
      </w:pPr>
      <w:r>
        <w:rPr>
          <w:rFonts w:ascii="Arial" w:hAnsi="Arial" w:cs="Arial"/>
          <w:bCs/>
          <w:sz w:val="24"/>
          <w:lang w:val="es-PR"/>
        </w:rPr>
        <w:tab/>
      </w:r>
      <w:r w:rsidR="00803015">
        <w:rPr>
          <w:rFonts w:ascii="Arial" w:hAnsi="Arial" w:cs="Arial"/>
          <w:bCs/>
          <w:sz w:val="24"/>
          <w:lang w:val="es-PR"/>
        </w:rPr>
        <w:t>Refiriéndose a un estatuto similar, el mecanismo de revisión reglamentario con el fin de reconsiderar la otorgación de permisos y el mismo sujeto (una “parte”) bajo la otrora ARPe, este Hon. Tribunal expresó que “[s]</w:t>
      </w:r>
      <w:r w:rsidR="00803015" w:rsidRPr="00803015">
        <w:rPr>
          <w:rFonts w:ascii="Arial" w:hAnsi="Arial" w:cs="Arial"/>
          <w:bCs/>
          <w:sz w:val="24"/>
          <w:lang w:val="es-PR"/>
        </w:rPr>
        <w:t>i bien el término para reconsiderar es jurisdiccional, no podemos olvidar que aplica sólo a quienes son formalmente "partes". Y hemos visto que la Asociación de Residentes</w:t>
      </w:r>
      <w:r w:rsidR="00803015">
        <w:rPr>
          <w:rFonts w:ascii="Arial" w:hAnsi="Arial" w:cs="Arial"/>
          <w:bCs/>
          <w:sz w:val="24"/>
          <w:lang w:val="es-PR"/>
        </w:rPr>
        <w:t xml:space="preserve"> [recurrente en aquel caso]</w:t>
      </w:r>
      <w:r w:rsidR="00803015" w:rsidRPr="00803015">
        <w:rPr>
          <w:rFonts w:ascii="Arial" w:hAnsi="Arial" w:cs="Arial"/>
          <w:bCs/>
          <w:sz w:val="24"/>
          <w:lang w:val="es-PR"/>
        </w:rPr>
        <w:t xml:space="preserve"> no lo era, conforme la definición del propio Reglamento de ARPE. Ello explica por qué dicho organismo gubernamental no le notificó </w:t>
      </w:r>
      <w:r w:rsidR="00803015" w:rsidRPr="00803015">
        <w:rPr>
          <w:rFonts w:ascii="Arial" w:hAnsi="Arial" w:cs="Arial"/>
          <w:bCs/>
          <w:sz w:val="24"/>
          <w:u w:val="single"/>
          <w:lang w:val="es-PR"/>
        </w:rPr>
        <w:t>formal ni oficialmente</w:t>
      </w:r>
      <w:r w:rsidR="00803015" w:rsidRPr="00803015">
        <w:rPr>
          <w:rFonts w:ascii="Arial" w:hAnsi="Arial" w:cs="Arial"/>
          <w:bCs/>
          <w:sz w:val="24"/>
          <w:lang w:val="es-PR"/>
        </w:rPr>
        <w:t>.</w:t>
      </w:r>
      <w:r w:rsidR="00803015">
        <w:rPr>
          <w:rFonts w:ascii="Arial" w:hAnsi="Arial" w:cs="Arial"/>
          <w:bCs/>
          <w:sz w:val="24"/>
          <w:lang w:val="es-PR"/>
        </w:rPr>
        <w:t xml:space="preserve">” (énfasis suplido), </w:t>
      </w:r>
      <w:r w:rsidR="00803015">
        <w:rPr>
          <w:rFonts w:ascii="Arial" w:hAnsi="Arial" w:cs="Arial"/>
          <w:bCs/>
          <w:sz w:val="24"/>
          <w:u w:val="single"/>
          <w:lang w:val="es-PR"/>
        </w:rPr>
        <w:t>Asoc. Residentes v Montebello</w:t>
      </w:r>
      <w:r w:rsidR="00803015">
        <w:rPr>
          <w:rFonts w:ascii="Arial" w:hAnsi="Arial" w:cs="Arial"/>
          <w:bCs/>
          <w:sz w:val="24"/>
          <w:lang w:val="es-PR"/>
        </w:rPr>
        <w:t xml:space="preserve">, </w:t>
      </w:r>
      <w:r w:rsidR="00803015">
        <w:rPr>
          <w:rFonts w:ascii="Arial" w:hAnsi="Arial" w:cs="Arial"/>
          <w:bCs/>
          <w:i/>
          <w:sz w:val="24"/>
          <w:lang w:val="es-PR"/>
        </w:rPr>
        <w:t>supra</w:t>
      </w:r>
      <w:r w:rsidR="00803015">
        <w:rPr>
          <w:rFonts w:ascii="Arial" w:hAnsi="Arial" w:cs="Arial"/>
          <w:bCs/>
          <w:sz w:val="24"/>
          <w:lang w:val="es-PR"/>
        </w:rPr>
        <w:t xml:space="preserve">, pág. 421. </w:t>
      </w:r>
      <w:r w:rsidR="00454C77">
        <w:rPr>
          <w:rFonts w:ascii="Arial" w:hAnsi="Arial" w:cs="Arial"/>
          <w:bCs/>
          <w:sz w:val="24"/>
          <w:lang w:val="es-PR"/>
        </w:rPr>
        <w:t>Resolviendo</w:t>
      </w:r>
      <w:r w:rsidR="00C333AE">
        <w:rPr>
          <w:rFonts w:ascii="Arial" w:hAnsi="Arial" w:cs="Arial"/>
          <w:bCs/>
          <w:sz w:val="24"/>
          <w:lang w:val="es-PR"/>
        </w:rPr>
        <w:t xml:space="preserve"> este Hon. Tribunal que </w:t>
      </w:r>
      <w:r w:rsidR="00454C77">
        <w:rPr>
          <w:rFonts w:ascii="Arial" w:hAnsi="Arial" w:cs="Arial"/>
          <w:bCs/>
          <w:sz w:val="24"/>
          <w:lang w:val="es-PR"/>
        </w:rPr>
        <w:t>“</w:t>
      </w:r>
      <w:r w:rsidR="00454C77" w:rsidRPr="00454C77">
        <w:rPr>
          <w:rFonts w:ascii="Arial" w:hAnsi="Arial" w:cs="Arial"/>
          <w:bCs/>
          <w:sz w:val="24"/>
          <w:lang w:val="es-PR"/>
        </w:rPr>
        <w:t xml:space="preserve">no bastaba una supuesta </w:t>
      </w:r>
      <w:r w:rsidR="00454C77">
        <w:rPr>
          <w:rFonts w:ascii="Arial" w:hAnsi="Arial" w:cs="Arial"/>
          <w:bCs/>
          <w:sz w:val="24"/>
          <w:lang w:val="es-PR"/>
        </w:rPr>
        <w:t>‘</w:t>
      </w:r>
      <w:r w:rsidR="00454C77" w:rsidRPr="00454C77">
        <w:rPr>
          <w:rFonts w:ascii="Arial" w:hAnsi="Arial" w:cs="Arial"/>
          <w:bCs/>
          <w:sz w:val="24"/>
          <w:lang w:val="es-PR"/>
        </w:rPr>
        <w:t>notificación constructiva</w:t>
      </w:r>
      <w:r w:rsidR="00454C77">
        <w:rPr>
          <w:rFonts w:ascii="Arial" w:hAnsi="Arial" w:cs="Arial"/>
          <w:bCs/>
          <w:sz w:val="24"/>
          <w:lang w:val="es-PR"/>
        </w:rPr>
        <w:t>’</w:t>
      </w:r>
      <w:r w:rsidR="00454C77" w:rsidRPr="00454C77">
        <w:rPr>
          <w:rFonts w:ascii="Arial" w:hAnsi="Arial" w:cs="Arial"/>
          <w:bCs/>
          <w:sz w:val="24"/>
          <w:lang w:val="es-PR"/>
        </w:rPr>
        <w:t xml:space="preserve"> para que comenzara a decursar el referido término jurisdiccional.</w:t>
      </w:r>
      <w:r w:rsidR="00454C77">
        <w:rPr>
          <w:rFonts w:ascii="Arial" w:hAnsi="Arial" w:cs="Arial"/>
          <w:bCs/>
          <w:sz w:val="24"/>
          <w:lang w:val="es-PR"/>
        </w:rPr>
        <w:t xml:space="preserve">”, </w:t>
      </w:r>
      <w:r w:rsidR="00454C77">
        <w:rPr>
          <w:rFonts w:ascii="Arial" w:hAnsi="Arial" w:cs="Arial"/>
          <w:bCs/>
          <w:i/>
          <w:sz w:val="24"/>
          <w:lang w:val="es-PR"/>
        </w:rPr>
        <w:t>ante</w:t>
      </w:r>
      <w:r w:rsidR="00454C77">
        <w:rPr>
          <w:rFonts w:ascii="Arial" w:hAnsi="Arial" w:cs="Arial"/>
          <w:bCs/>
          <w:sz w:val="24"/>
          <w:lang w:val="es-PR"/>
        </w:rPr>
        <w:t>. Que “[h]</w:t>
      </w:r>
      <w:r w:rsidR="00454C77" w:rsidRPr="00454C77">
        <w:rPr>
          <w:rFonts w:ascii="Arial" w:hAnsi="Arial" w:cs="Arial"/>
          <w:bCs/>
          <w:sz w:val="24"/>
          <w:lang w:val="es-PR"/>
        </w:rPr>
        <w:t xml:space="preserve">ay una gran diferencia entre saber que se planifica efectuar unas construcciones adicionales y conocimiento real de los términos exactos de una resolución emitida por ARPE, que por imperativo ha de contener unos </w:t>
      </w:r>
      <w:r w:rsidR="00454C77" w:rsidRPr="00454C77">
        <w:rPr>
          <w:rFonts w:ascii="Arial" w:hAnsi="Arial" w:cs="Arial"/>
          <w:bCs/>
          <w:sz w:val="24"/>
          <w:u w:val="single"/>
          <w:lang w:val="es-PR"/>
        </w:rPr>
        <w:t>apercibimientos</w:t>
      </w:r>
      <w:r w:rsidR="00454C77" w:rsidRPr="00454C77">
        <w:rPr>
          <w:rFonts w:ascii="Arial" w:hAnsi="Arial" w:cs="Arial"/>
          <w:bCs/>
          <w:sz w:val="24"/>
          <w:lang w:val="es-PR"/>
        </w:rPr>
        <w:t xml:space="preserve"> sobre los trámites y términos ulteriores jurisdiccionales.</w:t>
      </w:r>
      <w:r w:rsidR="00454C77">
        <w:rPr>
          <w:rFonts w:ascii="Arial" w:hAnsi="Arial" w:cs="Arial"/>
          <w:bCs/>
          <w:sz w:val="24"/>
          <w:lang w:val="es-PR"/>
        </w:rPr>
        <w:t xml:space="preserve">”, </w:t>
      </w:r>
      <w:r w:rsidR="00454C77">
        <w:rPr>
          <w:rFonts w:ascii="Arial" w:hAnsi="Arial" w:cs="Arial"/>
          <w:bCs/>
          <w:i/>
          <w:sz w:val="24"/>
          <w:lang w:val="es-PR"/>
        </w:rPr>
        <w:t>ante</w:t>
      </w:r>
      <w:r w:rsidR="00454C77">
        <w:rPr>
          <w:rFonts w:ascii="Arial" w:hAnsi="Arial" w:cs="Arial"/>
          <w:bCs/>
          <w:sz w:val="24"/>
          <w:lang w:val="es-PR"/>
        </w:rPr>
        <w:t>. Que si “</w:t>
      </w:r>
      <w:r w:rsidR="00454C77" w:rsidRPr="00454C77">
        <w:rPr>
          <w:rFonts w:ascii="Arial" w:hAnsi="Arial" w:cs="Arial"/>
          <w:bCs/>
          <w:sz w:val="24"/>
          <w:lang w:val="es-PR"/>
        </w:rPr>
        <w:t>estamos ante un cambio de gran impacto y trascendencia para los residentes. Como personas más cercanas, directamente afectadas, tenían derecho a ser oídos; a la postre, a ellos le corresponde velar y defender su inmediato habitat.</w:t>
      </w:r>
      <w:r w:rsidR="00454C77">
        <w:rPr>
          <w:rFonts w:ascii="Arial" w:hAnsi="Arial" w:cs="Arial"/>
          <w:bCs/>
          <w:sz w:val="24"/>
          <w:lang w:val="es-PR"/>
        </w:rPr>
        <w:t xml:space="preserve">”, </w:t>
      </w:r>
      <w:r w:rsidR="00454C77">
        <w:rPr>
          <w:rFonts w:ascii="Arial" w:hAnsi="Arial" w:cs="Arial"/>
          <w:bCs/>
          <w:i/>
          <w:sz w:val="24"/>
          <w:lang w:val="es-PR"/>
        </w:rPr>
        <w:t>ante</w:t>
      </w:r>
      <w:r w:rsidR="00454C77">
        <w:rPr>
          <w:rFonts w:ascii="Arial" w:hAnsi="Arial" w:cs="Arial"/>
          <w:bCs/>
          <w:sz w:val="24"/>
          <w:lang w:val="es-PR"/>
        </w:rPr>
        <w:t xml:space="preserve">, pág. 422. En ese caso, la solicitud de intervención de la Asoc. de Residentes se presentó dieciocho (18) días después de vencido el término jurisdiccional apercibido en la aprobación de ARPe, véase </w:t>
      </w:r>
      <w:r w:rsidR="00454C77">
        <w:rPr>
          <w:rFonts w:ascii="Arial" w:hAnsi="Arial" w:cs="Arial"/>
          <w:bCs/>
          <w:i/>
          <w:sz w:val="24"/>
          <w:lang w:val="es-PR"/>
        </w:rPr>
        <w:t xml:space="preserve">ante, </w:t>
      </w:r>
      <w:r w:rsidR="00454C77">
        <w:rPr>
          <w:rFonts w:ascii="Arial" w:hAnsi="Arial" w:cs="Arial"/>
          <w:bCs/>
          <w:sz w:val="24"/>
          <w:lang w:val="es-PR"/>
        </w:rPr>
        <w:t>pág. 416.</w:t>
      </w:r>
      <w:r w:rsidR="00DB32CE">
        <w:rPr>
          <w:rFonts w:ascii="Arial" w:hAnsi="Arial" w:cs="Arial"/>
          <w:bCs/>
          <w:sz w:val="24"/>
          <w:lang w:val="es-PR"/>
        </w:rPr>
        <w:t xml:space="preserve"> En aquel caso tampoco hubo celebración de vistas públicas sobre el proyecto, véase </w:t>
      </w:r>
      <w:r w:rsidR="00DB32CE">
        <w:rPr>
          <w:rFonts w:ascii="Arial" w:hAnsi="Arial" w:cs="Arial"/>
          <w:bCs/>
          <w:i/>
          <w:sz w:val="24"/>
          <w:lang w:val="es-PR"/>
        </w:rPr>
        <w:t>ante</w:t>
      </w:r>
      <w:r w:rsidR="00DB32CE">
        <w:rPr>
          <w:rFonts w:ascii="Arial" w:hAnsi="Arial" w:cs="Arial"/>
          <w:bCs/>
          <w:sz w:val="24"/>
          <w:lang w:val="es-PR"/>
        </w:rPr>
        <w:t>, pág.</w:t>
      </w:r>
      <w:r w:rsidR="00454C77">
        <w:rPr>
          <w:rFonts w:ascii="Arial" w:hAnsi="Arial" w:cs="Arial"/>
          <w:bCs/>
          <w:sz w:val="24"/>
          <w:lang w:val="es-PR"/>
        </w:rPr>
        <w:t xml:space="preserve"> </w:t>
      </w:r>
      <w:r w:rsidR="00DB32CE">
        <w:rPr>
          <w:rFonts w:ascii="Arial" w:hAnsi="Arial" w:cs="Arial"/>
          <w:bCs/>
          <w:sz w:val="24"/>
          <w:lang w:val="es-PR"/>
        </w:rPr>
        <w:t>417. También la Asoc. de Residentes tenía conocimiento del nuevo proyecto de aquel caso (que era una alteración al proyecto ya aprobado) mediante correspondencia cursada por Montebello Dev. adentro del término de 20 días de emitida la resolución</w:t>
      </w:r>
      <w:r w:rsidR="00203B73">
        <w:rPr>
          <w:rFonts w:ascii="Arial" w:hAnsi="Arial" w:cs="Arial"/>
          <w:bCs/>
          <w:sz w:val="24"/>
          <w:lang w:val="es-PR"/>
        </w:rPr>
        <w:t xml:space="preserve">, </w:t>
      </w:r>
      <w:r w:rsidR="00203B73">
        <w:rPr>
          <w:rFonts w:ascii="Arial" w:hAnsi="Arial" w:cs="Arial"/>
          <w:bCs/>
          <w:i/>
          <w:sz w:val="24"/>
          <w:lang w:val="es-PR"/>
        </w:rPr>
        <w:t>ante</w:t>
      </w:r>
      <w:r w:rsidR="00203B73">
        <w:rPr>
          <w:rFonts w:ascii="Arial" w:hAnsi="Arial" w:cs="Arial"/>
          <w:bCs/>
          <w:sz w:val="24"/>
          <w:lang w:val="es-PR"/>
        </w:rPr>
        <w:t>.</w:t>
      </w:r>
    </w:p>
    <w:p w:rsidR="00203B73" w:rsidRPr="001F7450" w:rsidRDefault="00203B73" w:rsidP="00695933">
      <w:pPr>
        <w:pStyle w:val="BodyText"/>
        <w:tabs>
          <w:tab w:val="left" w:pos="360"/>
        </w:tabs>
        <w:jc w:val="both"/>
        <w:rPr>
          <w:rFonts w:ascii="Arial" w:hAnsi="Arial" w:cs="Arial"/>
          <w:bCs/>
          <w:sz w:val="24"/>
          <w:lang w:val="es-PR"/>
        </w:rPr>
      </w:pPr>
      <w:r>
        <w:rPr>
          <w:rFonts w:ascii="Arial" w:hAnsi="Arial" w:cs="Arial"/>
          <w:bCs/>
          <w:sz w:val="24"/>
          <w:lang w:val="es-PR"/>
        </w:rPr>
        <w:tab/>
        <w:t xml:space="preserve">En otro caso resuelto por este Hon. Tribunal, con hechos más análogos aun, en el caso </w:t>
      </w:r>
      <w:r w:rsidRPr="00203B73">
        <w:rPr>
          <w:rFonts w:ascii="Arial" w:hAnsi="Arial" w:cs="Arial"/>
          <w:bCs/>
          <w:sz w:val="24"/>
          <w:u w:val="single"/>
          <w:lang w:val="es-PR"/>
        </w:rPr>
        <w:t>Municipio de Caguas v ATT Wireless</w:t>
      </w:r>
      <w:r>
        <w:rPr>
          <w:rFonts w:ascii="Arial" w:hAnsi="Arial" w:cs="Arial"/>
          <w:bCs/>
          <w:sz w:val="24"/>
          <w:lang w:val="es-PR"/>
        </w:rPr>
        <w:t xml:space="preserve">, </w:t>
      </w:r>
      <w:r w:rsidRPr="00203B73">
        <w:rPr>
          <w:rFonts w:ascii="Arial" w:hAnsi="Arial" w:cs="Arial"/>
          <w:bCs/>
          <w:sz w:val="24"/>
          <w:lang w:val="es-PR"/>
        </w:rPr>
        <w:t>154 D.P.R. 401</w:t>
      </w:r>
      <w:r>
        <w:rPr>
          <w:rFonts w:ascii="Arial" w:hAnsi="Arial" w:cs="Arial"/>
          <w:bCs/>
          <w:sz w:val="24"/>
          <w:lang w:val="es-PR"/>
        </w:rPr>
        <w:t xml:space="preserve"> (2001). En este caso, los vecinos del lugar de construcción no fueron notificados de la otorgación del permiso de construcción para una torre de telecomunicaciones, véase </w:t>
      </w:r>
      <w:r>
        <w:rPr>
          <w:rFonts w:ascii="Arial" w:hAnsi="Arial" w:cs="Arial"/>
          <w:bCs/>
          <w:i/>
          <w:sz w:val="24"/>
          <w:lang w:val="es-PR"/>
        </w:rPr>
        <w:t>ante</w:t>
      </w:r>
      <w:r>
        <w:rPr>
          <w:rFonts w:ascii="Arial" w:hAnsi="Arial" w:cs="Arial"/>
          <w:bCs/>
          <w:sz w:val="24"/>
          <w:lang w:val="es-PR"/>
        </w:rPr>
        <w:t xml:space="preserve">, pág. 404. También el Municipio y los vecinos alegaban que la otorgación del permiso fue ilegal, </w:t>
      </w:r>
      <w:r>
        <w:rPr>
          <w:rFonts w:ascii="Arial" w:hAnsi="Arial" w:cs="Arial"/>
          <w:bCs/>
          <w:i/>
          <w:sz w:val="24"/>
          <w:lang w:val="es-PR"/>
        </w:rPr>
        <w:t>ante</w:t>
      </w:r>
      <w:r>
        <w:rPr>
          <w:rFonts w:ascii="Arial" w:hAnsi="Arial" w:cs="Arial"/>
          <w:bCs/>
          <w:sz w:val="24"/>
          <w:lang w:val="es-PR"/>
        </w:rPr>
        <w:t>. En aquel caso, como pretende QMC en este, la construcción había comenzado y los vecinos estaban sufriendo ya “</w:t>
      </w:r>
      <w:r w:rsidRPr="00203B73">
        <w:rPr>
          <w:rFonts w:ascii="Arial" w:hAnsi="Arial" w:cs="Arial"/>
          <w:bCs/>
          <w:sz w:val="24"/>
          <w:lang w:val="es-PR"/>
        </w:rPr>
        <w:t>el agrietamiento de sus residencias y el deslizamiento de terrenos</w:t>
      </w:r>
      <w:r>
        <w:rPr>
          <w:rFonts w:ascii="Arial" w:hAnsi="Arial" w:cs="Arial"/>
          <w:bCs/>
          <w:sz w:val="24"/>
          <w:lang w:val="es-PR"/>
        </w:rPr>
        <w:t xml:space="preserve">”, </w:t>
      </w:r>
      <w:r>
        <w:rPr>
          <w:rFonts w:ascii="Arial" w:hAnsi="Arial" w:cs="Arial"/>
          <w:bCs/>
          <w:i/>
          <w:sz w:val="24"/>
          <w:lang w:val="es-PR"/>
        </w:rPr>
        <w:t>ante</w:t>
      </w:r>
      <w:r>
        <w:rPr>
          <w:rFonts w:ascii="Arial" w:hAnsi="Arial" w:cs="Arial"/>
          <w:bCs/>
          <w:sz w:val="24"/>
          <w:lang w:val="es-PR"/>
        </w:rPr>
        <w:t xml:space="preserve">. </w:t>
      </w:r>
      <w:r w:rsidR="001F7450">
        <w:rPr>
          <w:rFonts w:ascii="Arial" w:hAnsi="Arial" w:cs="Arial"/>
          <w:bCs/>
          <w:sz w:val="24"/>
          <w:lang w:val="es-PR"/>
        </w:rPr>
        <w:t xml:space="preserve">A diferencia de este caso, en aquel caso el Municipio y los vecinos acudieron al Tribunal de Primera Instancia solicitando el auto de injunction, </w:t>
      </w:r>
      <w:r w:rsidR="001F7450">
        <w:rPr>
          <w:rFonts w:ascii="Arial" w:hAnsi="Arial" w:cs="Arial"/>
          <w:bCs/>
          <w:i/>
          <w:sz w:val="24"/>
          <w:lang w:val="es-PR"/>
        </w:rPr>
        <w:t>ante</w:t>
      </w:r>
      <w:r w:rsidR="001F7450">
        <w:rPr>
          <w:rFonts w:ascii="Arial" w:hAnsi="Arial" w:cs="Arial"/>
          <w:bCs/>
          <w:sz w:val="24"/>
          <w:lang w:val="es-PR"/>
        </w:rPr>
        <w:t>. En aquel caso este Hon. Tribunal dio por suficiente mérito que “</w:t>
      </w:r>
      <w:r w:rsidR="001F7450" w:rsidRPr="001F7450">
        <w:rPr>
          <w:rFonts w:ascii="Arial" w:hAnsi="Arial" w:cs="Arial"/>
          <w:bCs/>
          <w:sz w:val="24"/>
          <w:lang w:val="es-PR"/>
        </w:rPr>
        <w:t xml:space="preserve">que existía aquí un peligro de daño inminente hacia los vecinos peticionarios. Ese daño era el </w:t>
      </w:r>
      <w:r w:rsidR="001F7450" w:rsidRPr="001F7450">
        <w:rPr>
          <w:rFonts w:ascii="Arial" w:hAnsi="Arial" w:cs="Arial"/>
          <w:bCs/>
          <w:sz w:val="24"/>
          <w:u w:val="single"/>
          <w:lang w:val="es-PR"/>
        </w:rPr>
        <w:t>riesgo indudable de deslizamiento de tierras que existía en el lugar</w:t>
      </w:r>
      <w:r w:rsidR="001F7450" w:rsidRPr="001F7450">
        <w:rPr>
          <w:rFonts w:ascii="Arial" w:hAnsi="Arial" w:cs="Arial"/>
          <w:bCs/>
          <w:sz w:val="24"/>
          <w:lang w:val="es-PR"/>
        </w:rPr>
        <w:t xml:space="preserve"> y que ponía incluso la vida de los vecinos en grave peligro. Para evitar precisamente este daño fue que los peticionarios acudieron al tribunal”, </w:t>
      </w:r>
      <w:r w:rsidR="001F7450" w:rsidRPr="001F7450">
        <w:rPr>
          <w:rFonts w:ascii="Arial" w:hAnsi="Arial" w:cs="Arial"/>
          <w:bCs/>
          <w:i/>
          <w:sz w:val="24"/>
          <w:lang w:val="es-PR"/>
        </w:rPr>
        <w:t>ante</w:t>
      </w:r>
      <w:r w:rsidR="001F7450" w:rsidRPr="001F7450">
        <w:rPr>
          <w:rFonts w:ascii="Arial" w:hAnsi="Arial" w:cs="Arial"/>
          <w:bCs/>
          <w:sz w:val="24"/>
          <w:lang w:val="es-PR"/>
        </w:rPr>
        <w:t>, pág. 415. Y en el que este Hon. Tribunal concluye que:</w:t>
      </w:r>
    </w:p>
    <w:p w:rsidR="001F7450" w:rsidRDefault="001F7450" w:rsidP="000E653D">
      <w:pPr>
        <w:pStyle w:val="BodyText"/>
        <w:tabs>
          <w:tab w:val="left" w:pos="360"/>
          <w:tab w:val="left" w:pos="9720"/>
        </w:tabs>
        <w:spacing w:line="240" w:lineRule="auto"/>
        <w:ind w:left="360" w:right="360"/>
        <w:jc w:val="both"/>
        <w:rPr>
          <w:rFonts w:ascii="Arial" w:hAnsi="Arial" w:cs="Arial"/>
          <w:sz w:val="20"/>
          <w:lang w:val="es-PR"/>
        </w:rPr>
      </w:pPr>
      <w:r w:rsidRPr="000E653D">
        <w:rPr>
          <w:rFonts w:ascii="Arial" w:hAnsi="Arial" w:cs="Arial"/>
          <w:sz w:val="20"/>
          <w:u w:val="single"/>
          <w:lang w:val="es-PR"/>
        </w:rPr>
        <w:t>La notificación de la decisión de la ARPE en casos como el de autos es necesaria</w:t>
      </w:r>
      <w:r w:rsidRPr="000E653D">
        <w:rPr>
          <w:rFonts w:ascii="Arial" w:hAnsi="Arial" w:cs="Arial"/>
          <w:sz w:val="20"/>
          <w:lang w:val="es-PR"/>
        </w:rPr>
        <w:t xml:space="preserve">, pues, para hacer posible que los vecinos afectados por dicha decisión puedan presentar sus reclamos oportunamente ante la ARPE y que esta agencia los considere antes de que su decisión sea final. Id. La notificación es necesaria, además, para que los vecinos afectados puedan cuestionar oportunamente ante los tribunales cualquier dictamen administrativo que le sea adverso. </w:t>
      </w:r>
      <w:r w:rsidRPr="000E653D">
        <w:rPr>
          <w:rFonts w:ascii="Arial" w:hAnsi="Arial" w:cs="Arial"/>
          <w:sz w:val="20"/>
          <w:u w:val="single"/>
          <w:lang w:val="es-PR"/>
        </w:rPr>
        <w:t>Los remedios posteriores a ese dictamen provistos por reglamentos y estatutos forman parte del debido proceso de ley y la falta de notificación adecuada puede impedir que se procuren tales remedios, enervando así las garantías del debido proceso de ley</w:t>
      </w:r>
      <w:r w:rsidRPr="000E653D">
        <w:rPr>
          <w:rFonts w:ascii="Arial" w:hAnsi="Arial" w:cs="Arial"/>
          <w:sz w:val="20"/>
          <w:lang w:val="es-PR"/>
        </w:rPr>
        <w:t>.</w:t>
      </w:r>
    </w:p>
    <w:p w:rsidR="000E653D" w:rsidRDefault="000E653D" w:rsidP="000E653D">
      <w:pPr>
        <w:pStyle w:val="BodyText"/>
        <w:tabs>
          <w:tab w:val="left" w:pos="360"/>
          <w:tab w:val="left" w:pos="9720"/>
        </w:tabs>
        <w:spacing w:line="240" w:lineRule="auto"/>
        <w:ind w:left="360" w:right="360"/>
        <w:jc w:val="both"/>
        <w:rPr>
          <w:rFonts w:ascii="Arial" w:hAnsi="Arial" w:cs="Arial"/>
          <w:b/>
          <w:sz w:val="20"/>
          <w:lang w:val="es-PR"/>
        </w:rPr>
      </w:pPr>
      <w:r>
        <w:rPr>
          <w:rFonts w:ascii="Arial" w:hAnsi="Arial" w:cs="Arial"/>
          <w:b/>
          <w:sz w:val="20"/>
          <w:lang w:val="es-PR"/>
        </w:rPr>
        <w:t xml:space="preserve">Mun. de Caguas v ATT Wireless, </w:t>
      </w:r>
      <w:r>
        <w:rPr>
          <w:rFonts w:ascii="Arial" w:hAnsi="Arial" w:cs="Arial"/>
          <w:b/>
          <w:i/>
          <w:sz w:val="20"/>
          <w:lang w:val="es-PR"/>
        </w:rPr>
        <w:t>ante</w:t>
      </w:r>
      <w:r>
        <w:rPr>
          <w:rFonts w:ascii="Arial" w:hAnsi="Arial" w:cs="Arial"/>
          <w:b/>
          <w:sz w:val="20"/>
          <w:lang w:val="es-PR"/>
        </w:rPr>
        <w:t>, pág. 414.</w:t>
      </w:r>
    </w:p>
    <w:p w:rsidR="000E653D" w:rsidRPr="000E653D" w:rsidRDefault="000E653D" w:rsidP="000E653D">
      <w:pPr>
        <w:pStyle w:val="BodyText"/>
        <w:tabs>
          <w:tab w:val="left" w:pos="360"/>
          <w:tab w:val="left" w:pos="9720"/>
        </w:tabs>
        <w:spacing w:line="240" w:lineRule="auto"/>
        <w:ind w:left="360" w:right="360"/>
        <w:jc w:val="both"/>
        <w:rPr>
          <w:rFonts w:ascii="Arial" w:hAnsi="Arial" w:cs="Arial"/>
          <w:b/>
          <w:bCs/>
          <w:caps/>
          <w:sz w:val="24"/>
          <w:lang w:val="es-PR"/>
        </w:rPr>
      </w:pPr>
    </w:p>
    <w:p w:rsidR="00104FE9" w:rsidRDefault="000E653D" w:rsidP="00695933">
      <w:pPr>
        <w:pStyle w:val="BodyText"/>
        <w:tabs>
          <w:tab w:val="left" w:pos="360"/>
        </w:tabs>
        <w:jc w:val="both"/>
        <w:rPr>
          <w:rFonts w:ascii="Arial" w:hAnsi="Arial" w:cs="Arial"/>
          <w:bCs/>
          <w:sz w:val="24"/>
          <w:lang w:val="es-PR"/>
        </w:rPr>
      </w:pPr>
      <w:r>
        <w:rPr>
          <w:rFonts w:ascii="Arial" w:hAnsi="Arial" w:cs="Arial"/>
          <w:bCs/>
          <w:sz w:val="24"/>
          <w:lang w:val="es-PR"/>
        </w:rPr>
        <w:tab/>
        <w:t xml:space="preserve">Entonces, en este caso, el Hon. Tribunal de Apelaciones concluyó en la </w:t>
      </w:r>
      <w:r>
        <w:rPr>
          <w:rFonts w:ascii="Arial" w:hAnsi="Arial" w:cs="Arial"/>
          <w:bCs/>
          <w:i/>
          <w:sz w:val="24"/>
          <w:lang w:val="es-PR"/>
        </w:rPr>
        <w:t>SENTENCIA RRJ</w:t>
      </w:r>
      <w:r>
        <w:rPr>
          <w:rFonts w:ascii="Arial" w:hAnsi="Arial" w:cs="Arial"/>
          <w:bCs/>
          <w:sz w:val="24"/>
          <w:lang w:val="es-PR"/>
        </w:rPr>
        <w:t xml:space="preserve"> que porque “</w:t>
      </w:r>
      <w:r>
        <w:rPr>
          <w:rFonts w:ascii="Arial" w:hAnsi="Arial" w:cs="Arial"/>
          <w:b/>
          <w:bCs/>
          <w:sz w:val="24"/>
          <w:lang w:val="es-PR"/>
        </w:rPr>
        <w:t>(1)</w:t>
      </w:r>
      <w:r>
        <w:rPr>
          <w:rFonts w:ascii="Arial" w:hAnsi="Arial" w:cs="Arial"/>
          <w:bCs/>
          <w:sz w:val="24"/>
          <w:lang w:val="es-PR"/>
        </w:rPr>
        <w:t xml:space="preserve"> los recurrentes fueron notificados del proceso administrativo; </w:t>
      </w:r>
      <w:r>
        <w:rPr>
          <w:rFonts w:ascii="Arial" w:hAnsi="Arial" w:cs="Arial"/>
          <w:b/>
          <w:bCs/>
          <w:sz w:val="24"/>
          <w:lang w:val="es-PR"/>
        </w:rPr>
        <w:t xml:space="preserve">(2) </w:t>
      </w:r>
      <w:r>
        <w:rPr>
          <w:rFonts w:ascii="Arial" w:hAnsi="Arial" w:cs="Arial"/>
          <w:bCs/>
          <w:sz w:val="24"/>
          <w:lang w:val="es-PR"/>
        </w:rPr>
        <w:t xml:space="preserve">tuvieron la oportunidad de participar en el mismo; </w:t>
      </w:r>
      <w:r>
        <w:rPr>
          <w:rFonts w:ascii="Arial" w:hAnsi="Arial" w:cs="Arial"/>
          <w:b/>
          <w:bCs/>
          <w:sz w:val="24"/>
          <w:lang w:val="es-PR"/>
        </w:rPr>
        <w:t>(3)</w:t>
      </w:r>
      <w:r>
        <w:rPr>
          <w:rFonts w:ascii="Arial" w:hAnsi="Arial" w:cs="Arial"/>
          <w:bCs/>
          <w:sz w:val="24"/>
          <w:lang w:val="es-PR"/>
        </w:rPr>
        <w:t xml:space="preserve"> tenían copia del expediente administrativo; </w:t>
      </w:r>
      <w:r>
        <w:rPr>
          <w:rFonts w:ascii="Arial" w:hAnsi="Arial" w:cs="Arial"/>
          <w:b/>
          <w:bCs/>
          <w:sz w:val="24"/>
          <w:lang w:val="es-PR"/>
        </w:rPr>
        <w:t>(4)</w:t>
      </w:r>
      <w:r>
        <w:rPr>
          <w:rFonts w:ascii="Arial" w:hAnsi="Arial" w:cs="Arial"/>
          <w:bCs/>
          <w:sz w:val="24"/>
          <w:lang w:val="es-PR"/>
        </w:rPr>
        <w:t xml:space="preserve"> advinieron en conocimiento de la determinación de la OGPe </w:t>
      </w:r>
      <w:r>
        <w:rPr>
          <w:rFonts w:ascii="Arial" w:hAnsi="Arial" w:cs="Arial"/>
          <w:b/>
          <w:bCs/>
          <w:sz w:val="24"/>
          <w:u w:val="single"/>
          <w:lang w:val="es-PR"/>
        </w:rPr>
        <w:t>antes</w:t>
      </w:r>
      <w:r>
        <w:rPr>
          <w:rFonts w:ascii="Arial" w:hAnsi="Arial" w:cs="Arial"/>
          <w:bCs/>
          <w:sz w:val="24"/>
          <w:lang w:val="es-PR"/>
        </w:rPr>
        <w:t xml:space="preserve"> de que transcurriera el término para acudir en revisión administrativa, y en virtud de lo anterior; </w:t>
      </w:r>
      <w:r>
        <w:rPr>
          <w:rFonts w:ascii="Arial" w:hAnsi="Arial" w:cs="Arial"/>
          <w:b/>
          <w:bCs/>
          <w:sz w:val="24"/>
          <w:lang w:val="es-PR"/>
        </w:rPr>
        <w:t>(5)</w:t>
      </w:r>
      <w:r>
        <w:rPr>
          <w:rFonts w:ascii="Arial" w:hAnsi="Arial" w:cs="Arial"/>
          <w:bCs/>
          <w:sz w:val="24"/>
          <w:lang w:val="es-PR"/>
        </w:rPr>
        <w:t xml:space="preserve"> decidieron ejercer su derecho a solicitar </w:t>
      </w:r>
      <w:r w:rsidR="00551D6A">
        <w:rPr>
          <w:rFonts w:ascii="Arial" w:hAnsi="Arial" w:cs="Arial"/>
          <w:bCs/>
          <w:sz w:val="24"/>
          <w:lang w:val="es-PR"/>
        </w:rPr>
        <w:t>revisión</w:t>
      </w:r>
      <w:r>
        <w:rPr>
          <w:rFonts w:ascii="Arial" w:hAnsi="Arial" w:cs="Arial"/>
          <w:bCs/>
          <w:sz w:val="24"/>
          <w:lang w:val="es-PR"/>
        </w:rPr>
        <w:t xml:space="preserve"> mediante la presentación de la </w:t>
      </w:r>
      <w:r>
        <w:rPr>
          <w:rFonts w:ascii="Arial" w:hAnsi="Arial" w:cs="Arial"/>
          <w:bCs/>
          <w:i/>
          <w:sz w:val="24"/>
          <w:u w:val="single"/>
          <w:lang w:val="es-PR"/>
        </w:rPr>
        <w:t>Solicitud de Revisión Administrativa</w:t>
      </w:r>
      <w:r>
        <w:rPr>
          <w:rFonts w:ascii="Arial" w:hAnsi="Arial" w:cs="Arial"/>
          <w:bCs/>
          <w:sz w:val="24"/>
          <w:lang w:val="es-PR"/>
        </w:rPr>
        <w:t xml:space="preserve">” </w:t>
      </w:r>
      <w:r>
        <w:rPr>
          <w:rFonts w:ascii="Arial" w:hAnsi="Arial" w:cs="Arial"/>
          <w:bCs/>
          <w:i/>
          <w:sz w:val="24"/>
          <w:lang w:val="es-PR"/>
        </w:rPr>
        <w:t>SENTENCIA RRJ</w:t>
      </w:r>
      <w:r>
        <w:rPr>
          <w:rFonts w:ascii="Arial" w:hAnsi="Arial" w:cs="Arial"/>
          <w:bCs/>
          <w:sz w:val="24"/>
          <w:lang w:val="es-PR"/>
        </w:rPr>
        <w:t xml:space="preserve">, véase en </w:t>
      </w:r>
      <w:r>
        <w:rPr>
          <w:rFonts w:ascii="Arial" w:hAnsi="Arial" w:cs="Arial"/>
          <w:b/>
          <w:bCs/>
          <w:sz w:val="24"/>
          <w:lang w:val="es-PR"/>
        </w:rPr>
        <w:t xml:space="preserve">Ap., </w:t>
      </w:r>
      <w:r w:rsidRPr="000E653D">
        <w:rPr>
          <w:rFonts w:ascii="Arial" w:hAnsi="Arial" w:cs="Arial"/>
          <w:b/>
          <w:bCs/>
          <w:sz w:val="24"/>
          <w:lang w:val="es-PR"/>
        </w:rPr>
        <w:t>2do párrafo,</w:t>
      </w:r>
      <w:r>
        <w:rPr>
          <w:rFonts w:ascii="Arial" w:hAnsi="Arial" w:cs="Arial"/>
          <w:bCs/>
          <w:sz w:val="24"/>
          <w:lang w:val="es-PR"/>
        </w:rPr>
        <w:t xml:space="preserve"> </w:t>
      </w:r>
      <w:r>
        <w:rPr>
          <w:rFonts w:ascii="Arial" w:hAnsi="Arial" w:cs="Arial"/>
          <w:b/>
          <w:bCs/>
          <w:sz w:val="24"/>
          <w:lang w:val="es-PR"/>
        </w:rPr>
        <w:t>pág. 13</w:t>
      </w:r>
      <w:r>
        <w:rPr>
          <w:rFonts w:ascii="Arial" w:hAnsi="Arial" w:cs="Arial"/>
          <w:bCs/>
          <w:sz w:val="24"/>
          <w:lang w:val="es-PR"/>
        </w:rPr>
        <w:t>.  Razón por la que concluye que en este caso sí aplica la notificación constructiva.</w:t>
      </w:r>
    </w:p>
    <w:p w:rsidR="00551D6A" w:rsidRDefault="000E653D" w:rsidP="00695933">
      <w:pPr>
        <w:pStyle w:val="BodyText"/>
        <w:tabs>
          <w:tab w:val="left" w:pos="360"/>
        </w:tabs>
        <w:jc w:val="both"/>
        <w:rPr>
          <w:rFonts w:ascii="Arial" w:hAnsi="Arial" w:cs="Arial"/>
          <w:bCs/>
          <w:sz w:val="24"/>
          <w:lang w:val="es-PR"/>
        </w:rPr>
      </w:pPr>
      <w:r>
        <w:rPr>
          <w:rFonts w:ascii="Arial" w:hAnsi="Arial" w:cs="Arial"/>
          <w:bCs/>
          <w:sz w:val="24"/>
          <w:lang w:val="es-PR"/>
        </w:rPr>
        <w:tab/>
        <w:t xml:space="preserve">Muy respetuosamente, entendemos que erró el  Hon. Triubunal de Apelaciones en su conclusión. </w:t>
      </w:r>
      <w:r w:rsidR="000B2F93">
        <w:rPr>
          <w:rFonts w:ascii="Arial" w:hAnsi="Arial" w:cs="Arial"/>
          <w:bCs/>
          <w:sz w:val="24"/>
          <w:lang w:val="es-PR"/>
        </w:rPr>
        <w:t xml:space="preserve">El hecho de que los recurrentes fueron notificados del procedimiento administrativo fue un hecho también en el caso de </w:t>
      </w:r>
      <w:r w:rsidR="000B2F93">
        <w:rPr>
          <w:rFonts w:ascii="Arial" w:hAnsi="Arial" w:cs="Arial"/>
          <w:bCs/>
          <w:sz w:val="24"/>
          <w:u w:val="single"/>
          <w:lang w:val="es-PR"/>
        </w:rPr>
        <w:t>Asoc. Residentes</w:t>
      </w:r>
      <w:r w:rsidR="000B2F93">
        <w:rPr>
          <w:rFonts w:ascii="Arial" w:hAnsi="Arial" w:cs="Arial"/>
          <w:bCs/>
          <w:sz w:val="24"/>
          <w:lang w:val="es-PR"/>
        </w:rPr>
        <w:t xml:space="preserve">, </w:t>
      </w:r>
      <w:r w:rsidR="000B2F93">
        <w:rPr>
          <w:rFonts w:ascii="Arial" w:hAnsi="Arial" w:cs="Arial"/>
          <w:bCs/>
          <w:i/>
          <w:sz w:val="24"/>
          <w:lang w:val="es-PR"/>
        </w:rPr>
        <w:t>supra</w:t>
      </w:r>
      <w:r w:rsidR="000B2F93">
        <w:rPr>
          <w:rFonts w:ascii="Arial" w:hAnsi="Arial" w:cs="Arial"/>
          <w:bCs/>
          <w:sz w:val="24"/>
          <w:lang w:val="es-PR"/>
        </w:rPr>
        <w:t xml:space="preserve">, y este Hon. Tribunal igual concluyó que no era suficiente para la notificación constructiva. En el mismo caso la Asoc. de Residentes también tuvo oportunidad de participar en el proceso administrativo. También, en el caso de la Asoc. de Residentes también tuvieron conocimiento de la determinación administrativa antes de vencer el término jurisdiccional de veinte (20) días para la revisión del permiso. En este caso esta PARTE RECURRENTE obtuvo el expediente ante la agencia antes de vencido el término, pero fue sólo cuatro (4) días laborables antes de que venciera, y en aquel caso, aunque no se aclara si la Asoc. tuvo conocimiento de los pormenores de la construcción aprobada, como se dijo, tuvo conocimiento de la “susodicha resolución [de ARPe]” antes de vencido el término. </w:t>
      </w:r>
      <w:r w:rsidR="00551D6A">
        <w:rPr>
          <w:rFonts w:ascii="Arial" w:hAnsi="Arial" w:cs="Arial"/>
          <w:bCs/>
          <w:sz w:val="24"/>
          <w:lang w:val="es-PR"/>
        </w:rPr>
        <w:t>Pero más importante aun, este Hon. Tribunal concluyó que era importante que la Asoc. tuviera “</w:t>
      </w:r>
      <w:r w:rsidR="00551D6A" w:rsidRPr="00454C77">
        <w:rPr>
          <w:rFonts w:ascii="Arial" w:hAnsi="Arial" w:cs="Arial"/>
          <w:bCs/>
          <w:sz w:val="24"/>
          <w:lang w:val="es-PR"/>
        </w:rPr>
        <w:t xml:space="preserve">conocimiento real de los términos exactos de una resolución emitida por ARPE, que por imperativo ha de contener unos </w:t>
      </w:r>
      <w:r w:rsidR="00551D6A" w:rsidRPr="00454C77">
        <w:rPr>
          <w:rFonts w:ascii="Arial" w:hAnsi="Arial" w:cs="Arial"/>
          <w:bCs/>
          <w:sz w:val="24"/>
          <w:u w:val="single"/>
          <w:lang w:val="es-PR"/>
        </w:rPr>
        <w:t>apercibimientos</w:t>
      </w:r>
      <w:r w:rsidR="00551D6A" w:rsidRPr="00454C77">
        <w:rPr>
          <w:rFonts w:ascii="Arial" w:hAnsi="Arial" w:cs="Arial"/>
          <w:bCs/>
          <w:sz w:val="24"/>
          <w:lang w:val="es-PR"/>
        </w:rPr>
        <w:t xml:space="preserve"> sobre los trámites y términos ulteriores jurisdiccionales</w:t>
      </w:r>
      <w:r w:rsidR="00551D6A">
        <w:rPr>
          <w:rFonts w:ascii="Arial" w:hAnsi="Arial" w:cs="Arial"/>
          <w:bCs/>
          <w:sz w:val="24"/>
          <w:lang w:val="es-PR"/>
        </w:rPr>
        <w:t xml:space="preserve">”, </w:t>
      </w:r>
      <w:r w:rsidR="00551D6A">
        <w:rPr>
          <w:rFonts w:ascii="Arial" w:hAnsi="Arial" w:cs="Arial"/>
          <w:bCs/>
          <w:i/>
          <w:sz w:val="24"/>
          <w:lang w:val="es-PR"/>
        </w:rPr>
        <w:t>ante</w:t>
      </w:r>
      <w:r w:rsidR="00551D6A">
        <w:rPr>
          <w:rFonts w:ascii="Arial" w:hAnsi="Arial" w:cs="Arial"/>
          <w:bCs/>
          <w:sz w:val="24"/>
          <w:lang w:val="es-PR"/>
        </w:rPr>
        <w:t>, 421. Cosa que no conoció esta PARTE RECURRENTE hasta cuatro días laborables antes que venciera el término. De suma importancia, también en este caso “</w:t>
      </w:r>
      <w:r w:rsidR="00551D6A" w:rsidRPr="00454C77">
        <w:rPr>
          <w:rFonts w:ascii="Arial" w:hAnsi="Arial" w:cs="Arial"/>
          <w:bCs/>
          <w:sz w:val="24"/>
          <w:lang w:val="es-PR"/>
        </w:rPr>
        <w:t>estamos ante un cambio de gran impacto y trascendencia para los residentes. Como personas más cercanas, directamente afectadas, tenían derecho a ser oídos; a la postre, a ellos le corresponde velar y defender su inmediato habitat.</w:t>
      </w:r>
      <w:r w:rsidR="00551D6A">
        <w:rPr>
          <w:rFonts w:ascii="Arial" w:hAnsi="Arial" w:cs="Arial"/>
          <w:bCs/>
          <w:sz w:val="24"/>
          <w:lang w:val="es-PR"/>
        </w:rPr>
        <w:t xml:space="preserve">”, </w:t>
      </w:r>
      <w:r w:rsidR="00551D6A">
        <w:rPr>
          <w:rFonts w:ascii="Arial" w:hAnsi="Arial" w:cs="Arial"/>
          <w:bCs/>
          <w:i/>
          <w:sz w:val="24"/>
          <w:lang w:val="es-PR"/>
        </w:rPr>
        <w:t>ante</w:t>
      </w:r>
      <w:r w:rsidR="00551D6A">
        <w:rPr>
          <w:rFonts w:ascii="Arial" w:hAnsi="Arial" w:cs="Arial"/>
          <w:bCs/>
          <w:sz w:val="24"/>
          <w:lang w:val="es-PR"/>
        </w:rPr>
        <w:t>, pág. 422.</w:t>
      </w:r>
    </w:p>
    <w:p w:rsidR="00551D6A" w:rsidRPr="007D5481" w:rsidRDefault="00551D6A" w:rsidP="00695933">
      <w:pPr>
        <w:pStyle w:val="BodyText"/>
        <w:tabs>
          <w:tab w:val="left" w:pos="360"/>
        </w:tabs>
        <w:jc w:val="both"/>
        <w:rPr>
          <w:rFonts w:ascii="Arial" w:hAnsi="Arial" w:cs="Arial"/>
          <w:bCs/>
          <w:sz w:val="24"/>
          <w:lang w:val="es-PR"/>
        </w:rPr>
      </w:pPr>
      <w:r>
        <w:rPr>
          <w:rFonts w:ascii="Arial" w:hAnsi="Arial" w:cs="Arial"/>
          <w:bCs/>
          <w:sz w:val="24"/>
          <w:lang w:val="es-PR"/>
        </w:rPr>
        <w:tab/>
        <w:t xml:space="preserve">Por otra parte, como reconoció este Hon. Tribunal en el caso del </w:t>
      </w:r>
      <w:r>
        <w:rPr>
          <w:rFonts w:ascii="Arial" w:hAnsi="Arial" w:cs="Arial"/>
          <w:bCs/>
          <w:sz w:val="24"/>
          <w:u w:val="single"/>
          <w:lang w:val="es-PR"/>
        </w:rPr>
        <w:t>Mun. de Caguas</w:t>
      </w:r>
      <w:r>
        <w:rPr>
          <w:rFonts w:ascii="Arial" w:hAnsi="Arial" w:cs="Arial"/>
          <w:bCs/>
          <w:sz w:val="24"/>
          <w:lang w:val="es-PR"/>
        </w:rPr>
        <w:t xml:space="preserve">, </w:t>
      </w:r>
      <w:r>
        <w:rPr>
          <w:rFonts w:ascii="Arial" w:hAnsi="Arial" w:cs="Arial"/>
          <w:bCs/>
          <w:i/>
          <w:sz w:val="24"/>
          <w:lang w:val="es-PR"/>
        </w:rPr>
        <w:t>supra</w:t>
      </w:r>
      <w:r>
        <w:rPr>
          <w:rFonts w:ascii="Arial" w:hAnsi="Arial" w:cs="Arial"/>
          <w:bCs/>
          <w:sz w:val="24"/>
          <w:lang w:val="es-PR"/>
        </w:rPr>
        <w:t>, en este caso existe</w:t>
      </w:r>
      <w:r w:rsidRPr="001F7450">
        <w:rPr>
          <w:rFonts w:ascii="Arial" w:hAnsi="Arial" w:cs="Arial"/>
          <w:bCs/>
          <w:sz w:val="24"/>
          <w:lang w:val="es-PR"/>
        </w:rPr>
        <w:t xml:space="preserve"> </w:t>
      </w:r>
      <w:r>
        <w:rPr>
          <w:rFonts w:ascii="Arial" w:hAnsi="Arial" w:cs="Arial"/>
          <w:bCs/>
          <w:sz w:val="24"/>
          <w:lang w:val="es-PR"/>
        </w:rPr>
        <w:t>“</w:t>
      </w:r>
      <w:r w:rsidRPr="001F7450">
        <w:rPr>
          <w:rFonts w:ascii="Arial" w:hAnsi="Arial" w:cs="Arial"/>
          <w:bCs/>
          <w:sz w:val="24"/>
          <w:lang w:val="es-PR"/>
        </w:rPr>
        <w:t>un peligro de daño inminente hacia los vecinos peticionarios</w:t>
      </w:r>
      <w:r>
        <w:rPr>
          <w:rFonts w:ascii="Arial" w:hAnsi="Arial" w:cs="Arial"/>
          <w:bCs/>
          <w:sz w:val="24"/>
          <w:lang w:val="es-PR"/>
        </w:rPr>
        <w:t xml:space="preserve">”, </w:t>
      </w:r>
      <w:r>
        <w:rPr>
          <w:rFonts w:ascii="Arial" w:hAnsi="Arial" w:cs="Arial"/>
          <w:bCs/>
          <w:i/>
          <w:sz w:val="24"/>
          <w:lang w:val="es-PR"/>
        </w:rPr>
        <w:t>ante</w:t>
      </w:r>
      <w:r>
        <w:rPr>
          <w:rFonts w:ascii="Arial" w:hAnsi="Arial" w:cs="Arial"/>
          <w:bCs/>
          <w:sz w:val="24"/>
          <w:lang w:val="es-PR"/>
        </w:rPr>
        <w:t xml:space="preserve">, pág. 414, el mismo peligro de daño, la construcción de una torre de telecomunicaciones en un terreno clasificado como susceptible a deslizamientos. Valga adelantar (porque se discute a fondo en el próximo señalamiento de error), existe la prohibición de estos proyectos en dichas zonas cuando son clasificadas susceptibles a deslizamientos por el USGS, y en este caso lo es; por lo que la actuación de la agencia es nula, según el </w:t>
      </w:r>
      <w:r>
        <w:rPr>
          <w:rFonts w:ascii="Arial" w:hAnsi="Arial" w:cs="Arial"/>
          <w:b/>
          <w:bCs/>
          <w:sz w:val="24"/>
          <w:lang w:val="es-PR"/>
        </w:rPr>
        <w:t xml:space="preserve">art. 16, C.c. 2020, </w:t>
      </w:r>
      <w:r>
        <w:rPr>
          <w:rFonts w:ascii="Arial" w:hAnsi="Arial" w:cs="Arial"/>
          <w:b/>
          <w:bCs/>
          <w:i/>
          <w:sz w:val="24"/>
          <w:lang w:val="es-PR"/>
        </w:rPr>
        <w:t>supra</w:t>
      </w:r>
      <w:r>
        <w:rPr>
          <w:rFonts w:ascii="Arial" w:hAnsi="Arial" w:cs="Arial"/>
          <w:bCs/>
          <w:sz w:val="24"/>
          <w:lang w:val="es-PR"/>
        </w:rPr>
        <w:t xml:space="preserve">, y también </w:t>
      </w:r>
      <w:r w:rsidR="007D5481" w:rsidRPr="00240185">
        <w:rPr>
          <w:rFonts w:ascii="Arial" w:hAnsi="Arial" w:cs="Arial"/>
          <w:bCs/>
          <w:sz w:val="24"/>
        </w:rPr>
        <w:t>“</w:t>
      </w:r>
      <w:r w:rsidR="007D5481" w:rsidRPr="00240185">
        <w:rPr>
          <w:rFonts w:ascii="Arial" w:hAnsi="Arial" w:cs="Arial"/>
          <w:bCs/>
          <w:sz w:val="24"/>
          <w:lang w:val="es-PR"/>
        </w:rPr>
        <w:t>resulta</w:t>
      </w:r>
      <w:r w:rsidR="007D5481">
        <w:rPr>
          <w:rFonts w:ascii="Arial" w:hAnsi="Arial" w:cs="Arial"/>
          <w:bCs/>
          <w:sz w:val="24"/>
          <w:lang w:val="es-PR"/>
        </w:rPr>
        <w:t>[ba]</w:t>
      </w:r>
      <w:r w:rsidR="007D5481" w:rsidRPr="00240185">
        <w:rPr>
          <w:rFonts w:ascii="Arial" w:hAnsi="Arial" w:cs="Arial"/>
          <w:bCs/>
          <w:sz w:val="24"/>
          <w:lang w:val="es-PR"/>
        </w:rPr>
        <w:t xml:space="preserve"> mandatorio declarar su inexistencia jurídica</w:t>
      </w:r>
      <w:r w:rsidR="007D5481">
        <w:rPr>
          <w:rFonts w:ascii="Arial" w:hAnsi="Arial" w:cs="Arial"/>
          <w:bCs/>
          <w:sz w:val="24"/>
        </w:rPr>
        <w:t>” por el Hon. TA</w:t>
      </w:r>
      <w:r w:rsidR="007D5481" w:rsidRPr="00240185">
        <w:rPr>
          <w:rFonts w:ascii="Arial" w:hAnsi="Arial" w:cs="Arial"/>
          <w:bCs/>
          <w:sz w:val="24"/>
        </w:rPr>
        <w:t xml:space="preserve">, según </w:t>
      </w:r>
      <w:r w:rsidR="007D5481" w:rsidRPr="00240185">
        <w:rPr>
          <w:rFonts w:ascii="Arial" w:hAnsi="Arial" w:cs="Arial"/>
          <w:bCs/>
          <w:sz w:val="24"/>
          <w:u w:val="single"/>
        </w:rPr>
        <w:t>Montañez v Policía</w:t>
      </w:r>
      <w:r w:rsidR="007D5481">
        <w:rPr>
          <w:rFonts w:ascii="Arial" w:hAnsi="Arial" w:cs="Arial"/>
          <w:bCs/>
          <w:sz w:val="24"/>
        </w:rPr>
        <w:t xml:space="preserve">, </w:t>
      </w:r>
      <w:r w:rsidR="007D5481">
        <w:rPr>
          <w:rFonts w:ascii="Arial" w:hAnsi="Arial" w:cs="Arial"/>
          <w:bCs/>
          <w:i/>
          <w:sz w:val="24"/>
          <w:lang w:val="es-PR"/>
        </w:rPr>
        <w:t>supra</w:t>
      </w:r>
      <w:r w:rsidR="007D5481">
        <w:rPr>
          <w:rFonts w:ascii="Arial" w:hAnsi="Arial" w:cs="Arial"/>
          <w:bCs/>
          <w:sz w:val="24"/>
          <w:lang w:val="es-PR"/>
        </w:rPr>
        <w:t xml:space="preserve">. En este caso, como en </w:t>
      </w:r>
      <w:r w:rsidR="007D5481">
        <w:rPr>
          <w:rFonts w:ascii="Arial" w:hAnsi="Arial" w:cs="Arial"/>
          <w:bCs/>
          <w:sz w:val="24"/>
          <w:u w:val="single"/>
          <w:lang w:val="es-PR"/>
        </w:rPr>
        <w:t>Mun. de Caguas</w:t>
      </w:r>
      <w:r w:rsidR="007D5481">
        <w:rPr>
          <w:rFonts w:ascii="Arial" w:hAnsi="Arial" w:cs="Arial"/>
          <w:bCs/>
          <w:sz w:val="24"/>
          <w:lang w:val="es-PR"/>
        </w:rPr>
        <w:t xml:space="preserve">, </w:t>
      </w:r>
      <w:r w:rsidR="007D5481">
        <w:rPr>
          <w:rFonts w:ascii="Arial" w:hAnsi="Arial" w:cs="Arial"/>
          <w:bCs/>
          <w:i/>
          <w:sz w:val="24"/>
          <w:lang w:val="es-PR"/>
        </w:rPr>
        <w:t>supra</w:t>
      </w:r>
      <w:r w:rsidR="007D5481">
        <w:rPr>
          <w:rFonts w:ascii="Arial" w:hAnsi="Arial" w:cs="Arial"/>
          <w:bCs/>
          <w:sz w:val="24"/>
          <w:lang w:val="es-PR"/>
        </w:rPr>
        <w:t>, la notificacion era necesara para que esta parte pudiera “</w:t>
      </w:r>
      <w:r w:rsidR="007D5481" w:rsidRPr="007D5481">
        <w:rPr>
          <w:rFonts w:ascii="Arial" w:hAnsi="Arial" w:cs="Arial"/>
          <w:bCs/>
          <w:sz w:val="24"/>
          <w:lang w:val="es-PR"/>
        </w:rPr>
        <w:t>presentar sus reclamos oportunamente</w:t>
      </w:r>
      <w:r w:rsidR="007D5481">
        <w:rPr>
          <w:rFonts w:ascii="Arial" w:hAnsi="Arial" w:cs="Arial"/>
          <w:bCs/>
          <w:sz w:val="24"/>
          <w:lang w:val="es-PR"/>
        </w:rPr>
        <w:t xml:space="preserve">”, </w:t>
      </w:r>
      <w:r w:rsidR="007D5481">
        <w:rPr>
          <w:rFonts w:ascii="Arial" w:hAnsi="Arial" w:cs="Arial"/>
          <w:bCs/>
          <w:i/>
          <w:sz w:val="24"/>
          <w:lang w:val="es-PR"/>
        </w:rPr>
        <w:t>ante</w:t>
      </w:r>
      <w:r w:rsidR="007D5481">
        <w:rPr>
          <w:rFonts w:ascii="Arial" w:hAnsi="Arial" w:cs="Arial"/>
          <w:bCs/>
          <w:sz w:val="24"/>
          <w:lang w:val="es-PR"/>
        </w:rPr>
        <w:t>. En este caso, esa notificación no se cumplió, por lo que esta PARTE entiende, según el derecho reseñado, que erró el Hon. TA al concluir que era válida la notificación constructiva en este caso, y así rogamos que lo entienda este Hon. Tribunal Supremo, expidiendo el auto solicitado y sentenciándolo.</w:t>
      </w:r>
    </w:p>
    <w:p w:rsidR="001D2D3E" w:rsidRDefault="006757EF" w:rsidP="006757EF">
      <w:pPr>
        <w:pStyle w:val="BodyText"/>
        <w:spacing w:line="240" w:lineRule="auto"/>
        <w:jc w:val="both"/>
        <w:rPr>
          <w:rFonts w:ascii="Arial" w:hAnsi="Arial" w:cs="Arial"/>
          <w:b/>
          <w:bCs/>
          <w:sz w:val="24"/>
          <w:lang w:val="es-PR"/>
        </w:rPr>
      </w:pPr>
      <w:r w:rsidRPr="00FA6622">
        <w:rPr>
          <w:rFonts w:ascii="Arial" w:hAnsi="Arial" w:cs="Arial"/>
          <w:b/>
          <w:bCs/>
          <w:sz w:val="24"/>
          <w:u w:val="single"/>
          <w:lang w:val="es-PR"/>
        </w:rPr>
        <w:t>SEGUNDO SEÑALAMIENTO DE ERROR</w:t>
      </w:r>
      <w:r>
        <w:rPr>
          <w:rFonts w:ascii="Arial" w:hAnsi="Arial" w:cs="Arial"/>
          <w:b/>
          <w:bCs/>
          <w:sz w:val="24"/>
          <w:lang w:val="es-PR"/>
        </w:rPr>
        <w:t>: ERRÓ EL HONORABLE TRIBUNAL DE APLEACIONES AL NO CUMPLIR CON EL MANDAMIENTO DE DECLARAR LA INEXISTENCIA DEL PERMISO IMPUGNADO POR QUE EL MISMO CONTRAVIENE UNA LEY PROHIBITIVA, QUE SEGÚN NUESTRO DERECHO ES UN ACTO NULO.</w:t>
      </w:r>
    </w:p>
    <w:p w:rsidR="007D5481" w:rsidRDefault="007D5481" w:rsidP="006757EF">
      <w:pPr>
        <w:pStyle w:val="BodyText"/>
        <w:spacing w:line="240" w:lineRule="auto"/>
        <w:jc w:val="both"/>
        <w:rPr>
          <w:rFonts w:ascii="Arial" w:hAnsi="Arial" w:cs="Arial"/>
          <w:b/>
          <w:bCs/>
          <w:sz w:val="24"/>
          <w:lang w:val="es-PR"/>
        </w:rPr>
      </w:pPr>
    </w:p>
    <w:p w:rsidR="007D5481" w:rsidRDefault="007D5481" w:rsidP="007D5481">
      <w:pPr>
        <w:pStyle w:val="BodyText"/>
        <w:tabs>
          <w:tab w:val="left" w:pos="360"/>
        </w:tabs>
        <w:jc w:val="both"/>
        <w:rPr>
          <w:rFonts w:ascii="Arial" w:hAnsi="Arial" w:cs="Arial"/>
          <w:bCs/>
          <w:sz w:val="24"/>
          <w:lang w:val="es-PR"/>
        </w:rPr>
      </w:pPr>
      <w:r>
        <w:rPr>
          <w:rFonts w:ascii="Arial" w:hAnsi="Arial" w:cs="Arial"/>
          <w:bCs/>
          <w:sz w:val="24"/>
          <w:lang w:val="es-PR"/>
        </w:rPr>
        <w:tab/>
        <w:t xml:space="preserve">Dice nuestro Código Civil, </w:t>
      </w:r>
      <w:r>
        <w:rPr>
          <w:rFonts w:ascii="Arial" w:hAnsi="Arial" w:cs="Arial"/>
          <w:bCs/>
          <w:i/>
          <w:sz w:val="24"/>
          <w:lang w:val="es-PR"/>
        </w:rPr>
        <w:t>supra</w:t>
      </w:r>
      <w:r>
        <w:rPr>
          <w:rFonts w:ascii="Arial" w:hAnsi="Arial" w:cs="Arial"/>
          <w:bCs/>
          <w:sz w:val="24"/>
          <w:lang w:val="es-PR"/>
        </w:rPr>
        <w:t>, que “</w:t>
      </w:r>
      <w:r w:rsidRPr="007D5481">
        <w:rPr>
          <w:rFonts w:ascii="Arial" w:hAnsi="Arial" w:cs="Arial"/>
          <w:bCs/>
          <w:sz w:val="24"/>
          <w:u w:val="single"/>
          <w:lang w:val="es-PR"/>
        </w:rPr>
        <w:t>[s]e entiende por ley toda</w:t>
      </w:r>
      <w:r w:rsidRPr="007D5481">
        <w:rPr>
          <w:rFonts w:ascii="Arial" w:hAnsi="Arial" w:cs="Arial"/>
          <w:bCs/>
          <w:sz w:val="24"/>
          <w:lang w:val="es-PR"/>
        </w:rPr>
        <w:t xml:space="preserve"> norma, </w:t>
      </w:r>
      <w:r w:rsidRPr="007D5481">
        <w:rPr>
          <w:rFonts w:ascii="Arial" w:hAnsi="Arial" w:cs="Arial"/>
          <w:bCs/>
          <w:sz w:val="24"/>
          <w:u w:val="single"/>
          <w:lang w:val="es-PR"/>
        </w:rPr>
        <w:t>reglamento</w:t>
      </w:r>
      <w:r w:rsidRPr="007D5481">
        <w:rPr>
          <w:rFonts w:ascii="Arial" w:hAnsi="Arial" w:cs="Arial"/>
          <w:bCs/>
          <w:sz w:val="24"/>
          <w:lang w:val="es-PR"/>
        </w:rPr>
        <w:t xml:space="preserve">, ordenanza, orden o decreto </w:t>
      </w:r>
      <w:r w:rsidRPr="007D5481">
        <w:rPr>
          <w:rFonts w:ascii="Arial" w:hAnsi="Arial" w:cs="Arial"/>
          <w:bCs/>
          <w:sz w:val="24"/>
          <w:u w:val="single"/>
          <w:lang w:val="es-PR"/>
        </w:rPr>
        <w:t>promulgado por una autoridad competente</w:t>
      </w:r>
      <w:r w:rsidRPr="007D5481">
        <w:rPr>
          <w:rFonts w:ascii="Arial" w:hAnsi="Arial" w:cs="Arial"/>
          <w:bCs/>
          <w:sz w:val="24"/>
          <w:lang w:val="es-PR"/>
        </w:rPr>
        <w:t xml:space="preserve"> del Estado en el ejercicio de sus funciones.</w:t>
      </w:r>
      <w:r>
        <w:rPr>
          <w:rFonts w:ascii="Arial" w:hAnsi="Arial" w:cs="Arial"/>
          <w:bCs/>
          <w:sz w:val="24"/>
          <w:lang w:val="es-PR"/>
        </w:rPr>
        <w:t xml:space="preserve">” (énfasis suplido), </w:t>
      </w:r>
      <w:r>
        <w:rPr>
          <w:rFonts w:ascii="Arial" w:hAnsi="Arial" w:cs="Arial"/>
          <w:b/>
          <w:bCs/>
          <w:sz w:val="24"/>
          <w:lang w:val="es-PR"/>
        </w:rPr>
        <w:t xml:space="preserve">art. 3, C.c. 2020, </w:t>
      </w:r>
      <w:r>
        <w:rPr>
          <w:rFonts w:ascii="Arial" w:hAnsi="Arial" w:cs="Arial"/>
          <w:b/>
          <w:bCs/>
          <w:i/>
          <w:sz w:val="24"/>
          <w:lang w:val="es-PR"/>
        </w:rPr>
        <w:t>supra</w:t>
      </w:r>
      <w:r>
        <w:rPr>
          <w:rFonts w:ascii="Arial" w:hAnsi="Arial" w:cs="Arial"/>
          <w:bCs/>
          <w:sz w:val="24"/>
          <w:lang w:val="es-PR"/>
        </w:rPr>
        <w:t>. Dice también el anterior Código, sobre la eficacia de la Ley, que “[l]</w:t>
      </w:r>
      <w:r w:rsidRPr="007D5481">
        <w:rPr>
          <w:rFonts w:ascii="Arial" w:hAnsi="Arial" w:cs="Arial"/>
          <w:bCs/>
          <w:sz w:val="24"/>
          <w:lang w:val="es-PR"/>
        </w:rPr>
        <w:t xml:space="preserve">os </w:t>
      </w:r>
      <w:r w:rsidRPr="007D5481">
        <w:rPr>
          <w:rFonts w:ascii="Arial" w:hAnsi="Arial" w:cs="Arial"/>
          <w:bCs/>
          <w:sz w:val="24"/>
          <w:u w:val="single"/>
          <w:lang w:val="es-PR"/>
        </w:rPr>
        <w:t>actos ejecutados contra lo dispuesto en las leyes</w:t>
      </w:r>
      <w:r w:rsidRPr="007D5481">
        <w:rPr>
          <w:rFonts w:ascii="Arial" w:hAnsi="Arial" w:cs="Arial"/>
          <w:bCs/>
          <w:sz w:val="24"/>
          <w:lang w:val="es-PR"/>
        </w:rPr>
        <w:t xml:space="preserve"> imperativas y las </w:t>
      </w:r>
      <w:r w:rsidRPr="007D5481">
        <w:rPr>
          <w:rFonts w:ascii="Arial" w:hAnsi="Arial" w:cs="Arial"/>
          <w:bCs/>
          <w:sz w:val="24"/>
          <w:u w:val="single"/>
          <w:lang w:val="es-PR"/>
        </w:rPr>
        <w:t>prohibitivas son nulos</w:t>
      </w:r>
      <w:r w:rsidRPr="007D5481">
        <w:rPr>
          <w:rFonts w:ascii="Arial" w:hAnsi="Arial" w:cs="Arial"/>
          <w:bCs/>
          <w:sz w:val="24"/>
          <w:lang w:val="es-PR"/>
        </w:rPr>
        <w:t>, salvo que se establezca otro efecto.</w:t>
      </w:r>
      <w:r>
        <w:rPr>
          <w:rFonts w:ascii="Arial" w:hAnsi="Arial" w:cs="Arial"/>
          <w:bCs/>
          <w:sz w:val="24"/>
          <w:lang w:val="es-PR"/>
        </w:rPr>
        <w:t xml:space="preserve">”(énfasis suplido), </w:t>
      </w:r>
      <w:r>
        <w:rPr>
          <w:rFonts w:ascii="Arial" w:hAnsi="Arial" w:cs="Arial"/>
          <w:b/>
          <w:bCs/>
          <w:sz w:val="24"/>
          <w:lang w:val="es-PR"/>
        </w:rPr>
        <w:t xml:space="preserve">art. 16, </w:t>
      </w:r>
      <w:r>
        <w:rPr>
          <w:rFonts w:ascii="Arial" w:hAnsi="Arial" w:cs="Arial"/>
          <w:b/>
          <w:bCs/>
          <w:i/>
          <w:sz w:val="24"/>
          <w:lang w:val="es-PR"/>
        </w:rPr>
        <w:t>ante</w:t>
      </w:r>
      <w:r>
        <w:rPr>
          <w:rFonts w:ascii="Arial" w:hAnsi="Arial" w:cs="Arial"/>
          <w:bCs/>
          <w:sz w:val="24"/>
          <w:lang w:val="es-PR"/>
        </w:rPr>
        <w:t>. Ya ha dicho este Hon. Tribunal que “</w:t>
      </w:r>
      <w:r w:rsidRPr="007D5481">
        <w:rPr>
          <w:rFonts w:ascii="Arial" w:hAnsi="Arial" w:cs="Arial"/>
          <w:bCs/>
          <w:sz w:val="24"/>
          <w:lang w:val="es-PR"/>
        </w:rPr>
        <w:t xml:space="preserve">la determinación de </w:t>
      </w:r>
      <w:r w:rsidRPr="00AB4379">
        <w:rPr>
          <w:rFonts w:ascii="Arial" w:hAnsi="Arial" w:cs="Arial"/>
          <w:bCs/>
          <w:sz w:val="24"/>
          <w:u w:val="single"/>
          <w:lang w:val="es-PR"/>
        </w:rPr>
        <w:t>relevar a una parte de los efectos de una sentencia está supeditada a la discreción del foro sentenciador</w:t>
      </w:r>
      <w:r w:rsidRPr="007D5481">
        <w:rPr>
          <w:rFonts w:ascii="Arial" w:hAnsi="Arial" w:cs="Arial"/>
          <w:bCs/>
          <w:sz w:val="24"/>
          <w:lang w:val="es-PR"/>
        </w:rPr>
        <w:t xml:space="preserve">. Ahora bien, ello encuentra su </w:t>
      </w:r>
      <w:r w:rsidRPr="00AB4379">
        <w:rPr>
          <w:rFonts w:ascii="Arial" w:hAnsi="Arial" w:cs="Arial"/>
          <w:bCs/>
          <w:sz w:val="24"/>
          <w:u w:val="single"/>
          <w:lang w:val="es-PR"/>
        </w:rPr>
        <w:t>excepción en los casos de nulidad</w:t>
      </w:r>
      <w:r w:rsidRPr="007D5481">
        <w:rPr>
          <w:rFonts w:ascii="Arial" w:hAnsi="Arial" w:cs="Arial"/>
          <w:bCs/>
          <w:sz w:val="24"/>
          <w:lang w:val="es-PR"/>
        </w:rPr>
        <w:t xml:space="preserve"> o cuando la sentencia ha sido satisfecha.</w:t>
      </w:r>
      <w:r w:rsidR="00AB4379">
        <w:rPr>
          <w:rFonts w:ascii="Arial" w:hAnsi="Arial" w:cs="Arial"/>
          <w:bCs/>
          <w:sz w:val="24"/>
          <w:lang w:val="es-PR"/>
        </w:rPr>
        <w:t xml:space="preserve">” (énfasis suplido), </w:t>
      </w:r>
      <w:r w:rsidR="00AB4379">
        <w:rPr>
          <w:rFonts w:ascii="Arial" w:hAnsi="Arial" w:cs="Arial"/>
          <w:bCs/>
          <w:sz w:val="24"/>
          <w:u w:val="single"/>
          <w:lang w:val="es-PR"/>
        </w:rPr>
        <w:t>López García v López García</w:t>
      </w:r>
      <w:r w:rsidR="00AB4379">
        <w:rPr>
          <w:rFonts w:ascii="Arial" w:hAnsi="Arial" w:cs="Arial"/>
          <w:bCs/>
          <w:sz w:val="24"/>
          <w:lang w:val="es-PR"/>
        </w:rPr>
        <w:t>, 2018 T.S.P.R. 57, pág. 11. “[E]</w:t>
      </w:r>
      <w:r w:rsidR="00AB4379" w:rsidRPr="00AB4379">
        <w:rPr>
          <w:rFonts w:ascii="Arial" w:hAnsi="Arial" w:cs="Arial"/>
          <w:bCs/>
          <w:sz w:val="24"/>
          <w:lang w:val="es-PR"/>
        </w:rPr>
        <w:t>n estas instancias, los tribunales no tienen discreción para relevar los efectos de una sentencia; por el contrario,</w:t>
      </w:r>
      <w:r w:rsidR="00AB4379">
        <w:rPr>
          <w:rFonts w:ascii="Arial" w:hAnsi="Arial" w:cs="Arial"/>
          <w:bCs/>
          <w:sz w:val="24"/>
          <w:lang w:val="es-PR"/>
        </w:rPr>
        <w:t xml:space="preserve"> </w:t>
      </w:r>
      <w:r w:rsidR="00AB4379" w:rsidRPr="00AB4379">
        <w:rPr>
          <w:rFonts w:ascii="Arial" w:hAnsi="Arial" w:cs="Arial"/>
          <w:bCs/>
          <w:sz w:val="24"/>
          <w:lang w:val="es-PR"/>
        </w:rPr>
        <w:t xml:space="preserve">tienen la </w:t>
      </w:r>
      <w:r w:rsidR="00AB4379" w:rsidRPr="00AB4379">
        <w:rPr>
          <w:rFonts w:ascii="Arial" w:hAnsi="Arial" w:cs="Arial"/>
          <w:bCs/>
          <w:sz w:val="24"/>
          <w:u w:val="single"/>
          <w:lang w:val="es-PR"/>
        </w:rPr>
        <w:t>obligación de así hacerlo</w:t>
      </w:r>
      <w:r w:rsidR="00AB4379" w:rsidRPr="00AB4379">
        <w:rPr>
          <w:rFonts w:ascii="Arial" w:hAnsi="Arial" w:cs="Arial"/>
          <w:bCs/>
          <w:sz w:val="24"/>
          <w:lang w:val="es-PR"/>
        </w:rPr>
        <w:t>.</w:t>
      </w:r>
      <w:r w:rsidR="00AB4379">
        <w:rPr>
          <w:rFonts w:ascii="Arial" w:hAnsi="Arial" w:cs="Arial"/>
          <w:bCs/>
          <w:sz w:val="24"/>
          <w:lang w:val="es-PR"/>
        </w:rPr>
        <w:t xml:space="preserve">”(énfasis suplido), </w:t>
      </w:r>
      <w:r w:rsidR="00AB4379">
        <w:rPr>
          <w:rFonts w:ascii="Arial" w:hAnsi="Arial" w:cs="Arial"/>
          <w:bCs/>
          <w:i/>
          <w:sz w:val="24"/>
          <w:lang w:val="es-PR"/>
        </w:rPr>
        <w:t>ante</w:t>
      </w:r>
      <w:r w:rsidR="00AB4379">
        <w:rPr>
          <w:rFonts w:ascii="Arial" w:hAnsi="Arial" w:cs="Arial"/>
          <w:bCs/>
          <w:sz w:val="24"/>
          <w:lang w:val="es-PR"/>
        </w:rPr>
        <w:t xml:space="preserve">, pág. 11-12, </w:t>
      </w:r>
      <w:r w:rsidR="00AB4379">
        <w:rPr>
          <w:rFonts w:ascii="Arial" w:hAnsi="Arial" w:cs="Arial"/>
          <w:bCs/>
          <w:i/>
          <w:sz w:val="24"/>
          <w:lang w:val="es-PR"/>
        </w:rPr>
        <w:t>citando a</w:t>
      </w:r>
      <w:r w:rsidR="00AB4379">
        <w:rPr>
          <w:rFonts w:ascii="Arial" w:hAnsi="Arial" w:cs="Arial"/>
          <w:bCs/>
          <w:sz w:val="24"/>
          <w:lang w:val="es-PR"/>
        </w:rPr>
        <w:t>;</w:t>
      </w:r>
      <w:r w:rsidR="00AB4379" w:rsidRPr="00AB4379">
        <w:rPr>
          <w:rFonts w:ascii="Arial" w:hAnsi="Arial" w:cs="Arial"/>
          <w:bCs/>
          <w:sz w:val="24"/>
          <w:lang w:val="es-PR"/>
        </w:rPr>
        <w:t xml:space="preserve"> </w:t>
      </w:r>
      <w:r w:rsidR="00AB4379" w:rsidRPr="00AB4379">
        <w:rPr>
          <w:rFonts w:ascii="Arial" w:hAnsi="Arial" w:cs="Arial"/>
          <w:bCs/>
          <w:iCs/>
          <w:sz w:val="24"/>
          <w:u w:val="single"/>
          <w:lang w:val="es-PR"/>
        </w:rPr>
        <w:t>Montañez v. Policía de Puerto Rico</w:t>
      </w:r>
      <w:r w:rsidR="00AB4379" w:rsidRPr="00AB4379">
        <w:rPr>
          <w:rFonts w:ascii="Arial" w:hAnsi="Arial" w:cs="Arial"/>
          <w:bCs/>
          <w:sz w:val="24"/>
          <w:lang w:val="es-PR"/>
        </w:rPr>
        <w:t xml:space="preserve">, </w:t>
      </w:r>
      <w:r w:rsidR="00AB4379">
        <w:rPr>
          <w:rFonts w:ascii="Arial" w:hAnsi="Arial" w:cs="Arial"/>
          <w:bCs/>
          <w:i/>
          <w:sz w:val="24"/>
          <w:lang w:val="es-PR"/>
        </w:rPr>
        <w:t>supra</w:t>
      </w:r>
      <w:r w:rsidR="00AB4379">
        <w:rPr>
          <w:rFonts w:ascii="Arial" w:hAnsi="Arial" w:cs="Arial"/>
          <w:bCs/>
          <w:sz w:val="24"/>
          <w:lang w:val="es-PR"/>
        </w:rPr>
        <w:t>, pág. 922. “</w:t>
      </w:r>
      <w:r w:rsidR="00AB4379" w:rsidRPr="00AB4379">
        <w:rPr>
          <w:rFonts w:ascii="Arial" w:hAnsi="Arial" w:cs="Arial"/>
          <w:bCs/>
          <w:sz w:val="24"/>
          <w:lang w:val="es-PR"/>
        </w:rPr>
        <w:t xml:space="preserve">Lo anterior se debe a que </w:t>
      </w:r>
      <w:r w:rsidR="00AB4379">
        <w:rPr>
          <w:rFonts w:ascii="Arial" w:hAnsi="Arial" w:cs="Arial"/>
          <w:bCs/>
          <w:sz w:val="24"/>
          <w:lang w:val="es-PR"/>
        </w:rPr>
        <w:t>‘</w:t>
      </w:r>
      <w:r w:rsidR="00AB4379" w:rsidRPr="00AB4379">
        <w:rPr>
          <w:rFonts w:ascii="Arial" w:hAnsi="Arial" w:cs="Arial"/>
          <w:bCs/>
          <w:sz w:val="24"/>
          <w:lang w:val="es-PR"/>
        </w:rPr>
        <w:t>cuando una sentencia es nula, se tiene por inexistente, por lo que no surte efecto alguno</w:t>
      </w:r>
      <w:r w:rsidR="00AB4379">
        <w:rPr>
          <w:rFonts w:ascii="Arial" w:hAnsi="Arial" w:cs="Arial"/>
          <w:bCs/>
          <w:sz w:val="24"/>
          <w:lang w:val="es-PR"/>
        </w:rPr>
        <w:t>’</w:t>
      </w:r>
      <w:r w:rsidR="00AB4379" w:rsidRPr="00AB4379">
        <w:rPr>
          <w:rFonts w:ascii="Arial" w:hAnsi="Arial" w:cs="Arial"/>
          <w:bCs/>
          <w:sz w:val="24"/>
          <w:lang w:val="es-PR"/>
        </w:rPr>
        <w:t>.</w:t>
      </w:r>
      <w:r w:rsidR="00AB4379">
        <w:rPr>
          <w:rFonts w:ascii="Arial" w:hAnsi="Arial" w:cs="Arial"/>
          <w:bCs/>
          <w:sz w:val="24"/>
          <w:lang w:val="es-PR"/>
        </w:rPr>
        <w:t xml:space="preserve">”, </w:t>
      </w:r>
      <w:r w:rsidR="00AB4379">
        <w:rPr>
          <w:rFonts w:ascii="Arial" w:hAnsi="Arial" w:cs="Arial"/>
          <w:bCs/>
          <w:sz w:val="24"/>
          <w:u w:val="single"/>
          <w:lang w:val="es-PR"/>
        </w:rPr>
        <w:t>HRS Erase v CMT</w:t>
      </w:r>
      <w:r w:rsidR="00AB4379">
        <w:rPr>
          <w:rFonts w:ascii="Arial" w:hAnsi="Arial" w:cs="Arial"/>
          <w:bCs/>
          <w:sz w:val="24"/>
          <w:lang w:val="es-PR"/>
        </w:rPr>
        <w:t xml:space="preserve">, 2020 T.S.P.R. 130, pág. 9, </w:t>
      </w:r>
      <w:r w:rsidR="00AB4379">
        <w:rPr>
          <w:rFonts w:ascii="Arial" w:hAnsi="Arial" w:cs="Arial"/>
          <w:bCs/>
          <w:i/>
          <w:sz w:val="24"/>
          <w:lang w:val="es-PR"/>
        </w:rPr>
        <w:t>citando a</w:t>
      </w:r>
      <w:r w:rsidR="00AB4379">
        <w:rPr>
          <w:rFonts w:ascii="Arial" w:hAnsi="Arial" w:cs="Arial"/>
          <w:bCs/>
          <w:sz w:val="24"/>
          <w:lang w:val="es-PR"/>
        </w:rPr>
        <w:t xml:space="preserve">; </w:t>
      </w:r>
      <w:r w:rsidR="00AB4379">
        <w:rPr>
          <w:rFonts w:ascii="Arial" w:hAnsi="Arial" w:cs="Arial"/>
          <w:bCs/>
          <w:sz w:val="24"/>
          <w:u w:val="single"/>
          <w:lang w:val="es-PR"/>
        </w:rPr>
        <w:t>López García v López García</w:t>
      </w:r>
      <w:r w:rsidR="00AB4379">
        <w:rPr>
          <w:rFonts w:ascii="Arial" w:hAnsi="Arial" w:cs="Arial"/>
          <w:bCs/>
          <w:sz w:val="24"/>
          <w:lang w:val="es-PR"/>
        </w:rPr>
        <w:t xml:space="preserve">, </w:t>
      </w:r>
      <w:r w:rsidR="00AB4379">
        <w:rPr>
          <w:rFonts w:ascii="Arial" w:hAnsi="Arial" w:cs="Arial"/>
          <w:bCs/>
          <w:i/>
          <w:sz w:val="24"/>
          <w:lang w:val="es-PR"/>
        </w:rPr>
        <w:t>supra</w:t>
      </w:r>
      <w:r w:rsidR="00AB4379">
        <w:rPr>
          <w:rFonts w:ascii="Arial" w:hAnsi="Arial" w:cs="Arial"/>
          <w:bCs/>
          <w:sz w:val="24"/>
          <w:lang w:val="es-PR"/>
        </w:rPr>
        <w:t>. En todos los caso citados en este párrafo, este Hon. Tribunal lo ha</w:t>
      </w:r>
      <w:r w:rsidR="007A0D1A">
        <w:rPr>
          <w:rFonts w:ascii="Arial" w:hAnsi="Arial" w:cs="Arial"/>
          <w:bCs/>
          <w:sz w:val="24"/>
          <w:lang w:val="es-PR"/>
        </w:rPr>
        <w:t xml:space="preserve"> expresado así, independientemente de que existan plazos.</w:t>
      </w:r>
    </w:p>
    <w:p w:rsidR="007A0D1A" w:rsidRDefault="007A0D1A" w:rsidP="007D5481">
      <w:pPr>
        <w:pStyle w:val="BodyText"/>
        <w:tabs>
          <w:tab w:val="left" w:pos="360"/>
        </w:tabs>
        <w:jc w:val="both"/>
        <w:rPr>
          <w:rFonts w:ascii="Arial" w:hAnsi="Arial" w:cs="Arial"/>
          <w:bCs/>
          <w:iCs/>
          <w:sz w:val="24"/>
          <w:lang w:val="es-PR"/>
        </w:rPr>
      </w:pPr>
      <w:r>
        <w:rPr>
          <w:rFonts w:ascii="Arial" w:hAnsi="Arial" w:cs="Arial"/>
          <w:bCs/>
          <w:sz w:val="24"/>
          <w:lang w:val="es-PR"/>
        </w:rPr>
        <w:tab/>
        <w:t xml:space="preserve">En lo referente, dice </w:t>
      </w:r>
      <w:r w:rsidRPr="007A0D1A">
        <w:rPr>
          <w:rFonts w:ascii="Arial" w:hAnsi="Arial" w:cs="Arial"/>
          <w:bCs/>
          <w:sz w:val="24"/>
          <w:lang w:val="es-PR"/>
        </w:rPr>
        <w:t xml:space="preserve">el </w:t>
      </w:r>
      <w:r w:rsidRPr="007A0D1A">
        <w:rPr>
          <w:rFonts w:ascii="Arial" w:hAnsi="Arial" w:cs="Arial"/>
          <w:b/>
          <w:bCs/>
          <w:sz w:val="24"/>
          <w:lang w:val="es-PR"/>
        </w:rPr>
        <w:t xml:space="preserve">Reglamento Conjunto de 2010, </w:t>
      </w:r>
      <w:r w:rsidRPr="007A0D1A">
        <w:rPr>
          <w:rFonts w:ascii="Arial" w:hAnsi="Arial" w:cs="Arial"/>
          <w:b/>
          <w:bCs/>
          <w:i/>
          <w:sz w:val="24"/>
          <w:lang w:val="es-PR"/>
        </w:rPr>
        <w:t>infra</w:t>
      </w:r>
      <w:r w:rsidRPr="007A0D1A">
        <w:rPr>
          <w:rFonts w:ascii="Arial" w:hAnsi="Arial" w:cs="Arial"/>
          <w:bCs/>
          <w:sz w:val="24"/>
          <w:lang w:val="es-PR"/>
        </w:rPr>
        <w:t>,</w:t>
      </w:r>
      <w:r>
        <w:rPr>
          <w:rFonts w:ascii="Arial" w:hAnsi="Arial" w:cs="Arial"/>
          <w:bCs/>
          <w:sz w:val="24"/>
          <w:lang w:val="es-PR"/>
        </w:rPr>
        <w:t xml:space="preserve"> bajo el cual se expidió el </w:t>
      </w:r>
      <w:r w:rsidRPr="007A0D1A">
        <w:rPr>
          <w:rFonts w:ascii="Arial" w:hAnsi="Arial" w:cs="Arial"/>
          <w:bCs/>
          <w:i/>
          <w:sz w:val="24"/>
          <w:lang w:val="es-PR"/>
        </w:rPr>
        <w:t>PERMISO IMPUGNADO</w:t>
      </w:r>
      <w:r>
        <w:rPr>
          <w:rFonts w:ascii="Arial" w:hAnsi="Arial" w:cs="Arial"/>
          <w:bCs/>
          <w:sz w:val="24"/>
          <w:lang w:val="es-PR"/>
        </w:rPr>
        <w:t>,</w:t>
      </w:r>
      <w:r w:rsidRPr="007A0D1A">
        <w:rPr>
          <w:rFonts w:ascii="Arial" w:hAnsi="Arial" w:cs="Arial"/>
          <w:bCs/>
          <w:sz w:val="24"/>
          <w:lang w:val="es-PR"/>
        </w:rPr>
        <w:t xml:space="preserve"> que “</w:t>
      </w:r>
      <w:r w:rsidRPr="007A0D1A">
        <w:rPr>
          <w:rFonts w:ascii="Arial" w:hAnsi="Arial" w:cs="Arial"/>
          <w:bCs/>
          <w:sz w:val="24"/>
          <w:u w:val="thick"/>
          <w:lang w:val="es-PR"/>
        </w:rPr>
        <w:t>No se permitirá la instalación y ubicación de torres y de facilidades de telecomunicaciones en:… En terrenos clasificados como susceptibles a deslizamientos</w:t>
      </w:r>
      <w:r w:rsidRPr="007A0D1A">
        <w:rPr>
          <w:rFonts w:ascii="Arial" w:hAnsi="Arial" w:cs="Arial"/>
          <w:bCs/>
          <w:sz w:val="24"/>
          <w:lang w:val="es-PR"/>
        </w:rPr>
        <w:t xml:space="preserve"> por el Servicio de Conservación de Recursos Naturales del Departamento de Agricultura Federal (NRCS, por sus siglas en inglés).”, </w:t>
      </w:r>
      <w:r w:rsidRPr="007A0D1A">
        <w:rPr>
          <w:rFonts w:ascii="Arial" w:hAnsi="Arial" w:cs="Arial"/>
          <w:b/>
          <w:bCs/>
          <w:sz w:val="24"/>
          <w:lang w:val="es-PR"/>
        </w:rPr>
        <w:t xml:space="preserve">sec. 44.1.7(b), </w:t>
      </w:r>
      <w:r w:rsidRPr="007A0D1A">
        <w:rPr>
          <w:rFonts w:ascii="Arial" w:hAnsi="Arial" w:cs="Arial"/>
          <w:b/>
          <w:bCs/>
          <w:iCs/>
          <w:sz w:val="24"/>
          <w:lang w:val="es-PR"/>
        </w:rPr>
        <w:t xml:space="preserve">Reglamento Conjunto 2010, </w:t>
      </w:r>
      <w:r w:rsidRPr="007A0D1A">
        <w:rPr>
          <w:rFonts w:ascii="Arial" w:hAnsi="Arial" w:cs="Arial"/>
          <w:b/>
          <w:bCs/>
          <w:i/>
          <w:iCs/>
          <w:sz w:val="24"/>
          <w:lang w:val="es-PR"/>
        </w:rPr>
        <w:t>supra</w:t>
      </w:r>
      <w:r w:rsidRPr="007A0D1A">
        <w:rPr>
          <w:rFonts w:ascii="Arial" w:hAnsi="Arial" w:cs="Arial"/>
          <w:bCs/>
          <w:iCs/>
          <w:sz w:val="24"/>
          <w:vertAlign w:val="superscript"/>
          <w:lang w:val="en-US"/>
        </w:rPr>
        <w:footnoteReference w:id="58"/>
      </w:r>
      <w:r w:rsidRPr="007A0D1A">
        <w:rPr>
          <w:rFonts w:ascii="Arial" w:hAnsi="Arial" w:cs="Arial"/>
          <w:bCs/>
          <w:iCs/>
          <w:sz w:val="24"/>
          <w:lang w:val="es-PR"/>
        </w:rPr>
        <w:t>.</w:t>
      </w:r>
      <w:r>
        <w:rPr>
          <w:rFonts w:ascii="Arial" w:hAnsi="Arial" w:cs="Arial"/>
          <w:bCs/>
          <w:iCs/>
          <w:sz w:val="24"/>
          <w:lang w:val="es-PR"/>
        </w:rPr>
        <w:t xml:space="preserve"> </w:t>
      </w:r>
    </w:p>
    <w:p w:rsidR="007A0D1A" w:rsidRDefault="007A0D1A" w:rsidP="007D5481">
      <w:pPr>
        <w:pStyle w:val="BodyText"/>
        <w:tabs>
          <w:tab w:val="left" w:pos="360"/>
        </w:tabs>
        <w:jc w:val="both"/>
        <w:rPr>
          <w:rFonts w:ascii="Arial" w:hAnsi="Arial" w:cs="Arial"/>
          <w:bCs/>
          <w:sz w:val="24"/>
          <w:lang w:val="es-PR"/>
        </w:rPr>
      </w:pPr>
      <w:r>
        <w:rPr>
          <w:rFonts w:ascii="Arial" w:hAnsi="Arial" w:cs="Arial"/>
          <w:bCs/>
          <w:iCs/>
          <w:sz w:val="24"/>
          <w:lang w:val="es-PR"/>
        </w:rPr>
        <w:tab/>
        <w:t xml:space="preserve">Ahora bien, </w:t>
      </w:r>
      <w:r>
        <w:rPr>
          <w:rFonts w:ascii="Arial" w:hAnsi="Arial" w:cs="Arial"/>
          <w:bCs/>
          <w:sz w:val="24"/>
          <w:lang w:val="es-PR"/>
        </w:rPr>
        <w:t>e</w:t>
      </w:r>
      <w:r w:rsidRPr="00D069E9">
        <w:rPr>
          <w:rFonts w:ascii="Arial" w:hAnsi="Arial" w:cs="Arial"/>
          <w:bCs/>
          <w:sz w:val="24"/>
          <w:lang w:val="es-PR"/>
        </w:rPr>
        <w:t xml:space="preserve">l </w:t>
      </w:r>
      <w:r w:rsidRPr="00D069E9">
        <w:rPr>
          <w:rFonts w:ascii="Arial" w:hAnsi="Arial" w:cs="Arial"/>
          <w:b/>
          <w:bCs/>
          <w:sz w:val="24"/>
          <w:lang w:val="es-PR"/>
        </w:rPr>
        <w:t>Geospatial Data Act of 2018, P.L 115-254</w:t>
      </w:r>
      <w:r w:rsidRPr="00D069E9">
        <w:rPr>
          <w:rFonts w:ascii="Arial" w:hAnsi="Arial" w:cs="Arial"/>
          <w:bCs/>
          <w:sz w:val="24"/>
          <w:lang w:val="es-PR"/>
        </w:rPr>
        <w:t xml:space="preserve">, creó el National Spatial Data Infrastructure, véase </w:t>
      </w:r>
      <w:r w:rsidRPr="00D069E9">
        <w:rPr>
          <w:rFonts w:ascii="Arial" w:hAnsi="Arial" w:cs="Arial"/>
          <w:b/>
          <w:bCs/>
          <w:sz w:val="24"/>
          <w:lang w:val="es-PR"/>
        </w:rPr>
        <w:t xml:space="preserve">sec. 755(a), </w:t>
      </w:r>
      <w:r w:rsidRPr="00D069E9">
        <w:rPr>
          <w:rFonts w:ascii="Arial" w:hAnsi="Arial" w:cs="Arial"/>
          <w:b/>
          <w:bCs/>
          <w:i/>
          <w:sz w:val="24"/>
          <w:lang w:val="es-PR"/>
        </w:rPr>
        <w:t>ante</w:t>
      </w:r>
      <w:r w:rsidRPr="00D069E9">
        <w:rPr>
          <w:rFonts w:ascii="Arial" w:hAnsi="Arial" w:cs="Arial"/>
          <w:bCs/>
          <w:sz w:val="24"/>
          <w:lang w:val="es-PR"/>
        </w:rPr>
        <w:t xml:space="preserve">, bajo el National Goespatial Advisory Committee, (en adelante el “COMITÉ”) también creado por la misma Ley en su </w:t>
      </w:r>
      <w:r w:rsidRPr="00D069E9">
        <w:rPr>
          <w:rFonts w:ascii="Arial" w:hAnsi="Arial" w:cs="Arial"/>
          <w:b/>
          <w:bCs/>
          <w:sz w:val="24"/>
          <w:lang w:val="es-PR"/>
        </w:rPr>
        <w:t xml:space="preserve">sec. 754(a), </w:t>
      </w:r>
      <w:r w:rsidRPr="00D069E9">
        <w:rPr>
          <w:rFonts w:ascii="Arial" w:hAnsi="Arial" w:cs="Arial"/>
          <w:b/>
          <w:bCs/>
          <w:i/>
          <w:sz w:val="24"/>
          <w:lang w:val="es-PR"/>
        </w:rPr>
        <w:t>ante</w:t>
      </w:r>
      <w:r w:rsidRPr="00D069E9">
        <w:rPr>
          <w:rFonts w:ascii="Arial" w:hAnsi="Arial" w:cs="Arial"/>
          <w:bCs/>
          <w:sz w:val="24"/>
          <w:lang w:val="es-PR"/>
        </w:rPr>
        <w:t>, para “asegurar que la información geoespacial de múltiples fuentes (incluidas las agencias cubiertas</w:t>
      </w:r>
      <w:r w:rsidRPr="00D069E9">
        <w:rPr>
          <w:rFonts w:ascii="Arial" w:hAnsi="Arial" w:cs="Arial"/>
          <w:bCs/>
          <w:sz w:val="24"/>
          <w:vertAlign w:val="superscript"/>
          <w:lang w:val="es-PR"/>
        </w:rPr>
        <w:footnoteReference w:id="59"/>
      </w:r>
      <w:r w:rsidRPr="00D069E9">
        <w:rPr>
          <w:rFonts w:ascii="Arial" w:hAnsi="Arial" w:cs="Arial"/>
          <w:bCs/>
          <w:sz w:val="24"/>
          <w:lang w:val="es-PR"/>
        </w:rPr>
        <w:t>, los Estados, los gobiernos locales y tribales, el sector privado, y las instituciones de educación superior) esté disponible y fácilmente integrado para mejorar el entendimiento del mundo físico y cultural.”</w:t>
      </w:r>
      <w:r w:rsidRPr="00D069E9">
        <w:rPr>
          <w:rFonts w:ascii="Arial" w:hAnsi="Arial" w:cs="Arial"/>
          <w:bCs/>
          <w:sz w:val="24"/>
          <w:vertAlign w:val="superscript"/>
          <w:lang w:val="es-PR"/>
        </w:rPr>
        <w:footnoteReference w:id="60"/>
      </w:r>
      <w:r w:rsidRPr="00D069E9">
        <w:rPr>
          <w:rFonts w:ascii="Arial" w:hAnsi="Arial" w:cs="Arial"/>
          <w:bCs/>
          <w:sz w:val="24"/>
          <w:lang w:val="es-PR"/>
        </w:rPr>
        <w:t xml:space="preserve">, </w:t>
      </w:r>
      <w:r w:rsidRPr="00D069E9">
        <w:rPr>
          <w:rFonts w:ascii="Arial" w:hAnsi="Arial" w:cs="Arial"/>
          <w:b/>
          <w:bCs/>
          <w:sz w:val="24"/>
          <w:lang w:val="es-PR"/>
        </w:rPr>
        <w:t xml:space="preserve">sec. 755(a), </w:t>
      </w:r>
      <w:r w:rsidRPr="00D069E9">
        <w:rPr>
          <w:rFonts w:ascii="Arial" w:hAnsi="Arial" w:cs="Arial"/>
          <w:b/>
          <w:bCs/>
          <w:i/>
          <w:sz w:val="24"/>
          <w:lang w:val="es-PR"/>
        </w:rPr>
        <w:t>ante</w:t>
      </w:r>
      <w:r w:rsidRPr="00D069E9">
        <w:rPr>
          <w:rFonts w:ascii="Arial" w:hAnsi="Arial" w:cs="Arial"/>
          <w:bCs/>
          <w:sz w:val="24"/>
          <w:lang w:val="es-PR"/>
        </w:rPr>
        <w:t xml:space="preserve">. A este COMITÉ se le añadió un sub-comité para añadir la información sobre deslizamientos y derrumbes de tierra recopilado por el </w:t>
      </w:r>
      <w:r w:rsidRPr="00D069E9">
        <w:rPr>
          <w:rFonts w:ascii="Arial" w:hAnsi="Arial" w:cs="Arial"/>
          <w:bCs/>
          <w:i/>
          <w:sz w:val="24"/>
          <w:lang w:val="es-PR"/>
        </w:rPr>
        <w:t>Subcommittee of National Geospatial Advisory Committee</w:t>
      </w:r>
      <w:r w:rsidRPr="00D069E9">
        <w:rPr>
          <w:rFonts w:ascii="Arial" w:hAnsi="Arial" w:cs="Arial"/>
          <w:bCs/>
          <w:sz w:val="24"/>
          <w:lang w:val="es-PR"/>
        </w:rPr>
        <w:t xml:space="preserve">, establecido por el </w:t>
      </w:r>
      <w:r w:rsidRPr="00D069E9">
        <w:rPr>
          <w:rFonts w:ascii="Arial" w:hAnsi="Arial" w:cs="Arial"/>
          <w:bCs/>
          <w:i/>
          <w:sz w:val="24"/>
          <w:lang w:val="es-PR"/>
        </w:rPr>
        <w:t>National Landslide Hazards Reduction Program</w:t>
      </w:r>
      <w:r w:rsidRPr="00D069E9">
        <w:rPr>
          <w:rFonts w:ascii="Arial" w:hAnsi="Arial" w:cs="Arial"/>
          <w:bCs/>
          <w:sz w:val="24"/>
          <w:lang w:val="es-PR"/>
        </w:rPr>
        <w:t xml:space="preserve"> adscrito al USGS, último creado por la </w:t>
      </w:r>
      <w:r w:rsidRPr="00D069E9">
        <w:rPr>
          <w:rFonts w:ascii="Arial" w:hAnsi="Arial" w:cs="Arial"/>
          <w:b/>
          <w:bCs/>
          <w:sz w:val="24"/>
          <w:lang w:val="es-PR"/>
        </w:rPr>
        <w:t>sec. 3(a), National Landslide Preparedness Act, P.L. 116–323 de 5 de enero de 2021</w:t>
      </w:r>
      <w:r w:rsidRPr="00D069E9">
        <w:rPr>
          <w:rFonts w:ascii="Arial" w:hAnsi="Arial" w:cs="Arial"/>
          <w:bCs/>
          <w:sz w:val="24"/>
          <w:lang w:val="es-PR"/>
        </w:rPr>
        <w:t xml:space="preserve">. Este sub-comité, creado por la </w:t>
      </w:r>
      <w:r w:rsidRPr="00D069E9">
        <w:rPr>
          <w:rFonts w:ascii="Arial" w:hAnsi="Arial" w:cs="Arial"/>
          <w:b/>
          <w:bCs/>
          <w:sz w:val="24"/>
          <w:lang w:val="es-PR"/>
        </w:rPr>
        <w:t xml:space="preserve">sec. 5(c)(1)(A), </w:t>
      </w:r>
      <w:r w:rsidRPr="00D069E9">
        <w:rPr>
          <w:rFonts w:ascii="Arial" w:hAnsi="Arial" w:cs="Arial"/>
          <w:b/>
          <w:bCs/>
          <w:i/>
          <w:sz w:val="24"/>
          <w:lang w:val="es-PR"/>
        </w:rPr>
        <w:t>ante</w:t>
      </w:r>
      <w:r w:rsidRPr="00D069E9">
        <w:rPr>
          <w:rFonts w:ascii="Arial" w:hAnsi="Arial" w:cs="Arial"/>
          <w:bCs/>
          <w:sz w:val="24"/>
          <w:lang w:val="es-PR"/>
        </w:rPr>
        <w:t xml:space="preserve">, somete reportes al </w:t>
      </w:r>
      <w:r w:rsidRPr="00D069E9">
        <w:rPr>
          <w:rFonts w:ascii="Arial" w:hAnsi="Arial" w:cs="Arial"/>
          <w:bCs/>
          <w:i/>
          <w:sz w:val="24"/>
          <w:lang w:val="es-PR"/>
        </w:rPr>
        <w:t>3D Elevation Federal Interagency Coordinating Committee</w:t>
      </w:r>
      <w:r w:rsidRPr="00D069E9">
        <w:rPr>
          <w:rFonts w:ascii="Arial" w:hAnsi="Arial" w:cs="Arial"/>
          <w:bCs/>
          <w:sz w:val="24"/>
          <w:lang w:val="es-PR"/>
        </w:rPr>
        <w:t xml:space="preserve">, creado por la </w:t>
      </w:r>
      <w:r w:rsidRPr="00D069E9">
        <w:rPr>
          <w:rFonts w:ascii="Arial" w:hAnsi="Arial" w:cs="Arial"/>
          <w:b/>
          <w:bCs/>
          <w:sz w:val="24"/>
          <w:lang w:val="es-PR"/>
        </w:rPr>
        <w:t xml:space="preserve">sec. 5(a)(1), </w:t>
      </w:r>
      <w:r w:rsidRPr="00D069E9">
        <w:rPr>
          <w:rFonts w:ascii="Arial" w:hAnsi="Arial" w:cs="Arial"/>
          <w:b/>
          <w:bCs/>
          <w:i/>
          <w:sz w:val="24"/>
          <w:lang w:val="es-PR"/>
        </w:rPr>
        <w:t>ante</w:t>
      </w:r>
      <w:r w:rsidRPr="00D069E9">
        <w:rPr>
          <w:rFonts w:ascii="Arial" w:hAnsi="Arial" w:cs="Arial"/>
          <w:bCs/>
          <w:sz w:val="24"/>
          <w:lang w:val="es-PR"/>
        </w:rPr>
        <w:t>, para “coordinar y facilitar la colección, diseminación, y uso de los datos de la elevación en 3D entre departamentos federales y agencias y entidades no-federales”</w:t>
      </w:r>
      <w:r w:rsidRPr="00D069E9">
        <w:rPr>
          <w:rFonts w:ascii="Arial" w:hAnsi="Arial" w:cs="Arial"/>
          <w:bCs/>
          <w:sz w:val="24"/>
          <w:vertAlign w:val="superscript"/>
          <w:lang w:val="es-PR"/>
        </w:rPr>
        <w:footnoteReference w:id="61"/>
      </w:r>
      <w:r w:rsidRPr="00D069E9">
        <w:rPr>
          <w:rFonts w:ascii="Arial" w:hAnsi="Arial" w:cs="Arial"/>
          <w:bCs/>
          <w:sz w:val="24"/>
          <w:lang w:val="es-PR"/>
        </w:rPr>
        <w:t xml:space="preserve">, véase </w:t>
      </w:r>
      <w:r w:rsidRPr="00D069E9">
        <w:rPr>
          <w:rFonts w:ascii="Arial" w:hAnsi="Arial" w:cs="Arial"/>
          <w:b/>
          <w:bCs/>
          <w:i/>
          <w:sz w:val="24"/>
          <w:lang w:val="es-PR"/>
        </w:rPr>
        <w:t>ante</w:t>
      </w:r>
      <w:r w:rsidRPr="00D069E9">
        <w:rPr>
          <w:rFonts w:ascii="Arial" w:hAnsi="Arial" w:cs="Arial"/>
          <w:b/>
          <w:bCs/>
          <w:sz w:val="24"/>
          <w:lang w:val="es-PR"/>
        </w:rPr>
        <w:t xml:space="preserve">. </w:t>
      </w:r>
      <w:r w:rsidRPr="00D069E9">
        <w:rPr>
          <w:rFonts w:ascii="Arial" w:hAnsi="Arial" w:cs="Arial"/>
          <w:bCs/>
          <w:sz w:val="24"/>
          <w:lang w:val="es-PR"/>
        </w:rPr>
        <w:t xml:space="preserve">En este último comité interagencial también es miembro el USDA y su secretario, véase </w:t>
      </w:r>
      <w:r w:rsidRPr="00D069E9">
        <w:rPr>
          <w:rFonts w:ascii="Arial" w:hAnsi="Arial" w:cs="Arial"/>
          <w:b/>
          <w:bCs/>
          <w:sz w:val="24"/>
          <w:lang w:val="es-PR"/>
        </w:rPr>
        <w:t xml:space="preserve">sec. 5(b)(2)(B), </w:t>
      </w:r>
      <w:r w:rsidRPr="00D069E9">
        <w:rPr>
          <w:rFonts w:ascii="Arial" w:hAnsi="Arial" w:cs="Arial"/>
          <w:b/>
          <w:bCs/>
          <w:i/>
          <w:sz w:val="24"/>
          <w:lang w:val="es-PR"/>
        </w:rPr>
        <w:t>ante</w:t>
      </w:r>
      <w:r w:rsidRPr="00D069E9">
        <w:rPr>
          <w:rFonts w:ascii="Arial" w:hAnsi="Arial" w:cs="Arial"/>
          <w:bCs/>
          <w:sz w:val="24"/>
          <w:lang w:val="es-PR"/>
        </w:rPr>
        <w:t xml:space="preserve">. </w:t>
      </w:r>
      <w:r w:rsidRPr="00D069E9">
        <w:rPr>
          <w:rFonts w:ascii="Arial" w:hAnsi="Arial" w:cs="Arial"/>
          <w:bCs/>
          <w:sz w:val="24"/>
          <w:u w:val="thick"/>
          <w:lang w:val="es-PR"/>
        </w:rPr>
        <w:t>Por lo que, al día de hoy, y en el momento de la evaluacion y otorgación del PERMISO DE CONSTRUCCIÓN, la información y datos del USDA y del USGS es la misma y compartida a través del National Spatial Data Infrastructure</w:t>
      </w:r>
      <w:r w:rsidRPr="00D069E9">
        <w:rPr>
          <w:rFonts w:ascii="Arial" w:hAnsi="Arial" w:cs="Arial"/>
          <w:bCs/>
          <w:sz w:val="24"/>
          <w:lang w:val="es-PR"/>
        </w:rPr>
        <w:t>.</w:t>
      </w:r>
      <w:r>
        <w:rPr>
          <w:rFonts w:ascii="Arial" w:hAnsi="Arial" w:cs="Arial"/>
          <w:bCs/>
          <w:sz w:val="24"/>
          <w:lang w:val="es-PR"/>
        </w:rPr>
        <w:t xml:space="preserve"> Ergo, según leían los Reglamentos Conjuntos de 2019 y 2020 (DEROGADOS), la prohibición citada debe entenderse que se refiere actualmente a terrenos clasificados como susceptibles a deslizamientos por el USGS.</w:t>
      </w:r>
    </w:p>
    <w:p w:rsidR="007A0D1A" w:rsidRDefault="007A0D1A" w:rsidP="007D5481">
      <w:pPr>
        <w:pStyle w:val="BodyText"/>
        <w:tabs>
          <w:tab w:val="left" w:pos="360"/>
        </w:tabs>
        <w:jc w:val="both"/>
        <w:rPr>
          <w:rFonts w:ascii="Arial" w:hAnsi="Arial" w:cs="Arial"/>
          <w:bCs/>
          <w:sz w:val="24"/>
          <w:lang w:val="es-PR"/>
        </w:rPr>
      </w:pPr>
      <w:r>
        <w:rPr>
          <w:rFonts w:ascii="Arial" w:hAnsi="Arial" w:cs="Arial"/>
          <w:bCs/>
          <w:sz w:val="24"/>
          <w:lang w:val="es-PR"/>
        </w:rPr>
        <w:tab/>
        <w:t xml:space="preserve">Es sumamente pertinente resaltar </w:t>
      </w:r>
      <w:r>
        <w:rPr>
          <w:rFonts w:ascii="Arial" w:hAnsi="Arial" w:cs="Arial"/>
          <w:bCs/>
          <w:iCs/>
          <w:sz w:val="24"/>
        </w:rPr>
        <w:t>que, “</w:t>
      </w:r>
      <w:r w:rsidRPr="009B60BE">
        <w:rPr>
          <w:rFonts w:ascii="Arial" w:hAnsi="Arial" w:cs="Arial"/>
          <w:bCs/>
          <w:iCs/>
          <w:sz w:val="24"/>
          <w:lang w:val="es-ES"/>
        </w:rPr>
        <w:t xml:space="preserve">como normativa de derecho administrativo, que </w:t>
      </w:r>
      <w:r w:rsidRPr="00A450CF">
        <w:rPr>
          <w:rFonts w:ascii="Arial" w:hAnsi="Arial" w:cs="Arial"/>
          <w:bCs/>
          <w:iCs/>
          <w:sz w:val="24"/>
          <w:u w:val="single"/>
          <w:lang w:val="es-ES"/>
        </w:rPr>
        <w:t>una vez una agencia ha promulgado unos reglamentos</w:t>
      </w:r>
      <w:r w:rsidRPr="009B60BE">
        <w:rPr>
          <w:rFonts w:ascii="Arial" w:hAnsi="Arial" w:cs="Arial"/>
          <w:bCs/>
          <w:iCs/>
          <w:sz w:val="24"/>
          <w:lang w:val="es-ES"/>
        </w:rPr>
        <w:t xml:space="preserve"> para facilitar su proceso decisional y limitar el alcance de su discreción, </w:t>
      </w:r>
      <w:r w:rsidRPr="00A450CF">
        <w:rPr>
          <w:rFonts w:ascii="Arial" w:hAnsi="Arial" w:cs="Arial"/>
          <w:bCs/>
          <w:iCs/>
          <w:sz w:val="24"/>
          <w:u w:val="single"/>
          <w:lang w:val="es-ES"/>
        </w:rPr>
        <w:t>viene obligada a observarlos estrictamente</w:t>
      </w:r>
      <w:r>
        <w:rPr>
          <w:rFonts w:ascii="Arial" w:hAnsi="Arial" w:cs="Arial"/>
          <w:bCs/>
          <w:iCs/>
          <w:sz w:val="24"/>
          <w:lang w:val="es-ES"/>
        </w:rPr>
        <w:t xml:space="preserve">” (énfasis suplido), </w:t>
      </w:r>
      <w:r w:rsidRPr="00060D9A">
        <w:rPr>
          <w:rFonts w:ascii="Arial" w:hAnsi="Arial" w:cs="Arial"/>
          <w:bCs/>
          <w:iCs/>
          <w:sz w:val="24"/>
          <w:u w:val="single"/>
          <w:lang w:val="es-ES"/>
        </w:rPr>
        <w:t>García Cabán v U.P.R.</w:t>
      </w:r>
      <w:r w:rsidRPr="00060D9A">
        <w:rPr>
          <w:rFonts w:ascii="Arial" w:hAnsi="Arial" w:cs="Arial"/>
          <w:bCs/>
          <w:iCs/>
          <w:sz w:val="24"/>
          <w:lang w:val="es-ES"/>
        </w:rPr>
        <w:t xml:space="preserve">, 120 D.P.R. 167, 175 (1987); </w:t>
      </w:r>
      <w:r w:rsidRPr="00060D9A">
        <w:rPr>
          <w:rFonts w:ascii="Arial" w:hAnsi="Arial" w:cs="Arial"/>
          <w:bCs/>
          <w:iCs/>
          <w:sz w:val="24"/>
          <w:u w:val="single"/>
          <w:lang w:val="es-ES"/>
        </w:rPr>
        <w:t>Díaz de Llovet v. Gobernador</w:t>
      </w:r>
      <w:r w:rsidRPr="00060D9A">
        <w:rPr>
          <w:rFonts w:ascii="Arial" w:hAnsi="Arial" w:cs="Arial"/>
          <w:bCs/>
          <w:iCs/>
          <w:sz w:val="24"/>
          <w:lang w:val="es-ES"/>
        </w:rPr>
        <w:t xml:space="preserve">, 112 D.P.R. 747, 757 (1982); </w:t>
      </w:r>
      <w:r w:rsidRPr="00060D9A">
        <w:rPr>
          <w:rFonts w:ascii="Arial" w:hAnsi="Arial" w:cs="Arial"/>
          <w:bCs/>
          <w:iCs/>
          <w:sz w:val="24"/>
          <w:u w:val="single"/>
          <w:lang w:val="es-ES"/>
        </w:rPr>
        <w:t>García v. Adm. del Derecho al Trabajo</w:t>
      </w:r>
      <w:r w:rsidRPr="00060D9A">
        <w:rPr>
          <w:rFonts w:ascii="Arial" w:hAnsi="Arial" w:cs="Arial"/>
          <w:bCs/>
          <w:iCs/>
          <w:sz w:val="24"/>
          <w:lang w:val="es-ES"/>
        </w:rPr>
        <w:t>, 108 D.P.R. 53 (1978)</w:t>
      </w:r>
      <w:r>
        <w:rPr>
          <w:rFonts w:ascii="Arial" w:hAnsi="Arial" w:cs="Arial"/>
          <w:bCs/>
          <w:iCs/>
          <w:sz w:val="24"/>
          <w:lang w:val="es-ES"/>
        </w:rPr>
        <w:t>.</w:t>
      </w:r>
    </w:p>
    <w:p w:rsidR="002816DE" w:rsidRDefault="007A0D1A" w:rsidP="002816DE">
      <w:pPr>
        <w:pStyle w:val="BodyText"/>
        <w:tabs>
          <w:tab w:val="left" w:pos="360"/>
        </w:tabs>
        <w:jc w:val="both"/>
        <w:rPr>
          <w:rFonts w:ascii="Arial" w:hAnsi="Arial" w:cs="Arial"/>
          <w:bCs/>
          <w:sz w:val="24"/>
          <w:lang w:val="es-PR"/>
        </w:rPr>
      </w:pPr>
      <w:r>
        <w:rPr>
          <w:rFonts w:ascii="Arial" w:hAnsi="Arial" w:cs="Arial"/>
          <w:bCs/>
          <w:sz w:val="24"/>
          <w:lang w:val="es-PR"/>
        </w:rPr>
        <w:tab/>
        <w:t>Entonces, como ya se probó, las coordenadas del centroide de la torre de telecomunicaciones de doscientos cincuenta pies (250’), que irá a una profundidad de cuarenta pies y seis decimas de pie (40.6’)</w:t>
      </w:r>
      <w:r w:rsidR="002816DE" w:rsidRPr="002816DE">
        <w:rPr>
          <w:rStyle w:val="FootnoteReference"/>
          <w:rFonts w:ascii="Arial" w:hAnsi="Arial" w:cs="Arial"/>
          <w:bCs/>
          <w:iCs/>
          <w:sz w:val="24"/>
          <w:lang w:val="es-PR"/>
        </w:rPr>
        <w:t xml:space="preserve"> </w:t>
      </w:r>
      <w:r w:rsidR="002816DE">
        <w:rPr>
          <w:rStyle w:val="FootnoteReference"/>
          <w:rFonts w:ascii="Arial" w:hAnsi="Arial" w:cs="Arial"/>
          <w:bCs/>
          <w:iCs/>
          <w:sz w:val="24"/>
          <w:lang w:val="es-PR"/>
        </w:rPr>
        <w:footnoteReference w:id="62"/>
      </w:r>
      <w:r>
        <w:rPr>
          <w:rFonts w:ascii="Arial" w:hAnsi="Arial" w:cs="Arial"/>
          <w:bCs/>
          <w:sz w:val="24"/>
          <w:lang w:val="es-PR"/>
        </w:rPr>
        <w:t xml:space="preserve"> y de los cuatro (4) postes de cuarenta y cinco pies (45’), que iran a una profundidad de nueve pies (9’)</w:t>
      </w:r>
      <w:r w:rsidR="002816DE" w:rsidRPr="002816DE">
        <w:rPr>
          <w:rStyle w:val="FootnoteReference"/>
          <w:rFonts w:ascii="Arial" w:hAnsi="Arial" w:cs="Arial"/>
          <w:bCs/>
          <w:iCs/>
          <w:sz w:val="24"/>
          <w:lang w:val="es-PR"/>
        </w:rPr>
        <w:t xml:space="preserve"> </w:t>
      </w:r>
      <w:r w:rsidR="002816DE">
        <w:rPr>
          <w:rStyle w:val="FootnoteReference"/>
          <w:rFonts w:ascii="Arial" w:hAnsi="Arial" w:cs="Arial"/>
          <w:bCs/>
          <w:iCs/>
          <w:sz w:val="24"/>
          <w:lang w:val="es-PR"/>
        </w:rPr>
        <w:footnoteReference w:id="63"/>
      </w:r>
      <w:r>
        <w:rPr>
          <w:rFonts w:ascii="Arial" w:hAnsi="Arial" w:cs="Arial"/>
          <w:bCs/>
          <w:sz w:val="24"/>
          <w:lang w:val="es-PR"/>
        </w:rPr>
        <w:t>, serían construidas en terrenos clasificados como susceptibles a deslizamientos por el USGS</w:t>
      </w:r>
      <w:r w:rsidR="002816DE" w:rsidRPr="00175EE0">
        <w:rPr>
          <w:rFonts w:ascii="Arial" w:hAnsi="Arial" w:cs="Arial"/>
          <w:bCs/>
          <w:sz w:val="24"/>
          <w:vertAlign w:val="superscript"/>
          <w:lang w:val="es-PR"/>
        </w:rPr>
        <w:footnoteReference w:id="64"/>
      </w:r>
      <w:r>
        <w:rPr>
          <w:rFonts w:ascii="Arial" w:hAnsi="Arial" w:cs="Arial"/>
          <w:bCs/>
          <w:sz w:val="24"/>
          <w:lang w:val="es-PR"/>
        </w:rPr>
        <w:t>.</w:t>
      </w:r>
      <w:r w:rsidR="002816DE">
        <w:rPr>
          <w:rFonts w:ascii="Arial" w:hAnsi="Arial" w:cs="Arial"/>
          <w:bCs/>
          <w:sz w:val="24"/>
          <w:lang w:val="es-PR"/>
        </w:rPr>
        <w:t xml:space="preserve"> Esas excavaciones, junto a las obras propuestas en el proyecto de QMC de</w:t>
      </w:r>
      <w:r w:rsidR="002816DE" w:rsidRPr="002816DE">
        <w:rPr>
          <w:rFonts w:ascii="Arial" w:hAnsi="Arial" w:cs="Arial"/>
          <w:bCs/>
          <w:iCs/>
          <w:sz w:val="24"/>
          <w:lang w:val="es-PR"/>
        </w:rPr>
        <w:t xml:space="preserve"> dr</w:t>
      </w:r>
      <w:r w:rsidR="002816DE">
        <w:rPr>
          <w:rFonts w:ascii="Arial" w:hAnsi="Arial" w:cs="Arial"/>
          <w:bCs/>
          <w:iCs/>
          <w:sz w:val="24"/>
          <w:lang w:val="es-PR"/>
        </w:rPr>
        <w:t>enajes, peso añadido, zona de relleno Y</w:t>
      </w:r>
      <w:r w:rsidR="002816DE" w:rsidRPr="002816DE">
        <w:rPr>
          <w:rFonts w:ascii="Arial" w:hAnsi="Arial" w:cs="Arial"/>
          <w:bCs/>
          <w:iCs/>
          <w:sz w:val="24"/>
          <w:lang w:val="es-PR"/>
        </w:rPr>
        <w:t xml:space="preserve"> desforestación</w:t>
      </w:r>
      <w:r w:rsidR="002816DE">
        <w:rPr>
          <w:rFonts w:ascii="Arial" w:hAnsi="Arial" w:cs="Arial"/>
          <w:bCs/>
          <w:iCs/>
          <w:sz w:val="24"/>
          <w:lang w:val="es-PR"/>
        </w:rPr>
        <w:t xml:space="preserve"> son de las</w:t>
      </w:r>
      <w:r w:rsidR="002816DE">
        <w:rPr>
          <w:rFonts w:ascii="Arial" w:hAnsi="Arial" w:cs="Arial"/>
          <w:bCs/>
          <w:sz w:val="24"/>
          <w:lang w:val="es-PR"/>
        </w:rPr>
        <w:t xml:space="preserve"> </w:t>
      </w:r>
      <w:r w:rsidR="002816DE" w:rsidRPr="00CC61D8">
        <w:rPr>
          <w:rFonts w:ascii="Arial" w:hAnsi="Arial" w:cs="Arial"/>
          <w:bCs/>
          <w:iCs/>
          <w:sz w:val="24"/>
          <w:u w:val="single"/>
          <w:lang w:val="es-PR"/>
        </w:rPr>
        <w:t>“actividades humanas que contribuyen a la susceptibilidad de derrumbes</w:t>
      </w:r>
      <w:r w:rsidR="002816DE">
        <w:rPr>
          <w:rFonts w:ascii="Arial" w:hAnsi="Arial" w:cs="Arial"/>
          <w:bCs/>
          <w:iCs/>
          <w:sz w:val="24"/>
          <w:lang w:val="es-PR"/>
        </w:rPr>
        <w:t>” según el USGS</w:t>
      </w:r>
      <w:r w:rsidR="002816DE" w:rsidRPr="00CC61D8">
        <w:rPr>
          <w:rFonts w:ascii="Arial" w:hAnsi="Arial" w:cs="Arial"/>
          <w:bCs/>
          <w:iCs/>
          <w:sz w:val="24"/>
          <w:vertAlign w:val="superscript"/>
          <w:lang w:val="es-PR"/>
        </w:rPr>
        <w:footnoteReference w:id="65"/>
      </w:r>
      <w:r w:rsidR="002816DE" w:rsidRPr="00CC61D8">
        <w:rPr>
          <w:rFonts w:ascii="Arial" w:hAnsi="Arial" w:cs="Arial"/>
          <w:bCs/>
          <w:iCs/>
          <w:sz w:val="24"/>
          <w:lang w:val="es-PR"/>
        </w:rPr>
        <w:t>.</w:t>
      </w:r>
      <w:r w:rsidR="00060D9A">
        <w:rPr>
          <w:rFonts w:ascii="Arial" w:hAnsi="Arial" w:cs="Arial"/>
          <w:bCs/>
          <w:iCs/>
          <w:sz w:val="24"/>
          <w:lang w:val="es-PR"/>
        </w:rPr>
        <w:t xml:space="preserve"> Como ya se citó, este Hon. Tribunal ya dictó en </w:t>
      </w:r>
      <w:r w:rsidR="00060D9A">
        <w:rPr>
          <w:rFonts w:ascii="Arial" w:hAnsi="Arial" w:cs="Arial"/>
          <w:bCs/>
          <w:iCs/>
          <w:sz w:val="24"/>
          <w:u w:val="single"/>
          <w:lang w:val="es-PR"/>
        </w:rPr>
        <w:t>Mun. de Caguas</w:t>
      </w:r>
      <w:r w:rsidR="00060D9A">
        <w:rPr>
          <w:rFonts w:ascii="Arial" w:hAnsi="Arial" w:cs="Arial"/>
          <w:bCs/>
          <w:iCs/>
          <w:sz w:val="24"/>
          <w:lang w:val="es-PR"/>
        </w:rPr>
        <w:t xml:space="preserve">, </w:t>
      </w:r>
      <w:r w:rsidR="00060D9A">
        <w:rPr>
          <w:rFonts w:ascii="Arial" w:hAnsi="Arial" w:cs="Arial"/>
          <w:bCs/>
          <w:i/>
          <w:iCs/>
          <w:sz w:val="24"/>
          <w:lang w:val="es-PR"/>
        </w:rPr>
        <w:t>supra</w:t>
      </w:r>
      <w:r w:rsidR="00060D9A">
        <w:rPr>
          <w:rFonts w:ascii="Arial" w:hAnsi="Arial" w:cs="Arial"/>
          <w:bCs/>
          <w:iCs/>
          <w:sz w:val="24"/>
          <w:lang w:val="es-PR"/>
        </w:rPr>
        <w:t>, que este es “</w:t>
      </w:r>
      <w:r w:rsidR="00060D9A" w:rsidRPr="001F7450">
        <w:rPr>
          <w:rFonts w:ascii="Arial" w:hAnsi="Arial" w:cs="Arial"/>
          <w:bCs/>
          <w:sz w:val="24"/>
          <w:lang w:val="es-PR"/>
        </w:rPr>
        <w:t xml:space="preserve">un peligro de daño inminente hacia los vecinos peticionarios. Ese daño era el </w:t>
      </w:r>
      <w:r w:rsidR="00060D9A" w:rsidRPr="001F7450">
        <w:rPr>
          <w:rFonts w:ascii="Arial" w:hAnsi="Arial" w:cs="Arial"/>
          <w:bCs/>
          <w:sz w:val="24"/>
          <w:u w:val="single"/>
          <w:lang w:val="es-PR"/>
        </w:rPr>
        <w:t>riesgo indudable de deslizamiento de tierras que existía en el lugar</w:t>
      </w:r>
      <w:r w:rsidR="00060D9A" w:rsidRPr="001F7450">
        <w:rPr>
          <w:rFonts w:ascii="Arial" w:hAnsi="Arial" w:cs="Arial"/>
          <w:bCs/>
          <w:sz w:val="24"/>
          <w:lang w:val="es-PR"/>
        </w:rPr>
        <w:t xml:space="preserve"> y que ponía incluso la vida de los vecinos en grave peligro. Para evitar precisamente este daño fue que los peticionarios acudieron al tribunal”</w:t>
      </w:r>
      <w:r w:rsidR="00060D9A">
        <w:rPr>
          <w:rFonts w:ascii="Arial" w:hAnsi="Arial" w:cs="Arial"/>
          <w:bCs/>
          <w:sz w:val="24"/>
          <w:lang w:val="es-PR"/>
        </w:rPr>
        <w:t xml:space="preserve"> (énfasis suplido)</w:t>
      </w:r>
      <w:r w:rsidR="00060D9A" w:rsidRPr="001F7450">
        <w:rPr>
          <w:rFonts w:ascii="Arial" w:hAnsi="Arial" w:cs="Arial"/>
          <w:bCs/>
          <w:sz w:val="24"/>
          <w:lang w:val="es-PR"/>
        </w:rPr>
        <w:t xml:space="preserve">, </w:t>
      </w:r>
      <w:r w:rsidR="00060D9A" w:rsidRPr="001F7450">
        <w:rPr>
          <w:rFonts w:ascii="Arial" w:hAnsi="Arial" w:cs="Arial"/>
          <w:bCs/>
          <w:i/>
          <w:sz w:val="24"/>
          <w:lang w:val="es-PR"/>
        </w:rPr>
        <w:t>ante</w:t>
      </w:r>
      <w:r w:rsidR="00060D9A" w:rsidRPr="001F7450">
        <w:rPr>
          <w:rFonts w:ascii="Arial" w:hAnsi="Arial" w:cs="Arial"/>
          <w:bCs/>
          <w:sz w:val="24"/>
          <w:lang w:val="es-PR"/>
        </w:rPr>
        <w:t>, pág. 415</w:t>
      </w:r>
      <w:r w:rsidR="00060D9A">
        <w:rPr>
          <w:rFonts w:ascii="Arial" w:hAnsi="Arial" w:cs="Arial"/>
          <w:bCs/>
          <w:sz w:val="24"/>
          <w:lang w:val="es-PR"/>
        </w:rPr>
        <w:t>.</w:t>
      </w:r>
    </w:p>
    <w:p w:rsidR="00060D9A" w:rsidRDefault="00060D9A" w:rsidP="002816DE">
      <w:pPr>
        <w:pStyle w:val="BodyText"/>
        <w:tabs>
          <w:tab w:val="left" w:pos="360"/>
        </w:tabs>
        <w:jc w:val="both"/>
        <w:rPr>
          <w:rFonts w:ascii="Arial" w:hAnsi="Arial" w:cs="Arial"/>
          <w:bCs/>
          <w:iCs/>
          <w:sz w:val="24"/>
          <w:lang w:val="es-ES"/>
        </w:rPr>
      </w:pPr>
      <w:r>
        <w:rPr>
          <w:rFonts w:ascii="Arial" w:hAnsi="Arial" w:cs="Arial"/>
          <w:bCs/>
          <w:sz w:val="24"/>
          <w:lang w:val="es-PR"/>
        </w:rPr>
        <w:tab/>
        <w:t>En este caso los RECURRENTES, sus familias y vecinos se encuentran aterrados por el daño que les puede significar la construcción de la torre de telecomunicaciones en su hábitat, que es susceptible a deslizamientos y que están viviendo los deslizamientos que ocurren a su alrededor por las copiosas lluvias de estos días posteriores al paso del Huracán Fiona por nuestro archipiélago. Así se lo hicieron saber a la DRA-OGPe en el RRA. Por su parte la OGPe conocía de la prohibición en su reglamento, que venía “</w:t>
      </w:r>
      <w:r w:rsidRPr="00A450CF">
        <w:rPr>
          <w:rFonts w:ascii="Arial" w:hAnsi="Arial" w:cs="Arial"/>
          <w:bCs/>
          <w:iCs/>
          <w:sz w:val="24"/>
          <w:u w:val="single"/>
          <w:lang w:val="es-ES"/>
        </w:rPr>
        <w:t>obligada a observar</w:t>
      </w:r>
      <w:r>
        <w:rPr>
          <w:rFonts w:ascii="Arial" w:hAnsi="Arial" w:cs="Arial"/>
          <w:bCs/>
          <w:iCs/>
          <w:sz w:val="24"/>
          <w:u w:val="single"/>
          <w:lang w:val="es-ES"/>
        </w:rPr>
        <w:t>[]</w:t>
      </w:r>
      <w:r w:rsidRPr="00A450CF">
        <w:rPr>
          <w:rFonts w:ascii="Arial" w:hAnsi="Arial" w:cs="Arial"/>
          <w:bCs/>
          <w:iCs/>
          <w:sz w:val="24"/>
          <w:u w:val="single"/>
          <w:lang w:val="es-ES"/>
        </w:rPr>
        <w:t xml:space="preserve"> estrictamente</w:t>
      </w:r>
      <w:r>
        <w:rPr>
          <w:rFonts w:ascii="Arial" w:hAnsi="Arial" w:cs="Arial"/>
          <w:bCs/>
          <w:iCs/>
          <w:sz w:val="24"/>
          <w:lang w:val="es-ES"/>
        </w:rPr>
        <w:t xml:space="preserve">” (énfasis suplido), </w:t>
      </w:r>
      <w:r w:rsidRPr="00060D9A">
        <w:rPr>
          <w:rFonts w:ascii="Arial" w:hAnsi="Arial" w:cs="Arial"/>
          <w:bCs/>
          <w:iCs/>
          <w:sz w:val="24"/>
          <w:u w:val="single"/>
          <w:lang w:val="es-ES"/>
        </w:rPr>
        <w:t>García Cabán v U.P.R.</w:t>
      </w:r>
      <w:r w:rsidRPr="00060D9A">
        <w:rPr>
          <w:rFonts w:ascii="Arial" w:hAnsi="Arial" w:cs="Arial"/>
          <w:bCs/>
          <w:iCs/>
          <w:sz w:val="24"/>
          <w:lang w:val="es-ES"/>
        </w:rPr>
        <w:t>,</w:t>
      </w:r>
      <w:r>
        <w:rPr>
          <w:rFonts w:ascii="Arial" w:hAnsi="Arial" w:cs="Arial"/>
          <w:bCs/>
          <w:iCs/>
          <w:sz w:val="24"/>
          <w:lang w:val="es-ES"/>
        </w:rPr>
        <w:t xml:space="preserve"> </w:t>
      </w:r>
      <w:r>
        <w:rPr>
          <w:rFonts w:ascii="Arial" w:hAnsi="Arial" w:cs="Arial"/>
          <w:bCs/>
          <w:i/>
          <w:iCs/>
          <w:sz w:val="24"/>
          <w:lang w:val="es-ES"/>
        </w:rPr>
        <w:t>supra</w:t>
      </w:r>
      <w:r>
        <w:rPr>
          <w:rFonts w:ascii="Arial" w:hAnsi="Arial" w:cs="Arial"/>
          <w:bCs/>
          <w:iCs/>
          <w:sz w:val="24"/>
          <w:lang w:val="es-ES"/>
        </w:rPr>
        <w:t xml:space="preserve">. Y cuya inobservancia, por ser un estatuto prohibitivo, convertía en nula su decisión, </w:t>
      </w:r>
      <w:r w:rsidR="00E6136F">
        <w:rPr>
          <w:rFonts w:ascii="Arial" w:hAnsi="Arial" w:cs="Arial"/>
          <w:b/>
          <w:bCs/>
          <w:iCs/>
          <w:sz w:val="24"/>
          <w:lang w:val="es-ES"/>
        </w:rPr>
        <w:t xml:space="preserve">art. 16, C.c. 2020, </w:t>
      </w:r>
      <w:r w:rsidR="00E6136F">
        <w:rPr>
          <w:rFonts w:ascii="Arial" w:hAnsi="Arial" w:cs="Arial"/>
          <w:b/>
          <w:bCs/>
          <w:i/>
          <w:iCs/>
          <w:sz w:val="24"/>
          <w:lang w:val="es-ES"/>
        </w:rPr>
        <w:t>supra</w:t>
      </w:r>
      <w:r w:rsidR="00E6136F">
        <w:rPr>
          <w:rFonts w:ascii="Arial" w:hAnsi="Arial" w:cs="Arial"/>
          <w:bCs/>
          <w:iCs/>
          <w:sz w:val="24"/>
          <w:lang w:val="es-ES"/>
        </w:rPr>
        <w:t>. En ese momento, independiente del plazo vencido o no (cosa que esta PARTE se reafirma que no le aplicaba),</w:t>
      </w:r>
      <w:r w:rsidR="00E6136F" w:rsidRPr="00E6136F">
        <w:rPr>
          <w:rFonts w:ascii="Arial" w:hAnsi="Arial" w:cs="Arial"/>
          <w:bCs/>
          <w:sz w:val="24"/>
          <w:lang w:val="es-PR"/>
        </w:rPr>
        <w:t xml:space="preserve"> </w:t>
      </w:r>
      <w:r w:rsidR="00E6136F">
        <w:rPr>
          <w:rFonts w:ascii="Arial" w:hAnsi="Arial" w:cs="Arial"/>
          <w:bCs/>
          <w:sz w:val="24"/>
          <w:lang w:val="es-PR"/>
        </w:rPr>
        <w:t xml:space="preserve">debió declarar el </w:t>
      </w:r>
      <w:r w:rsidR="00E6136F">
        <w:rPr>
          <w:rFonts w:ascii="Arial" w:hAnsi="Arial" w:cs="Arial"/>
          <w:bCs/>
          <w:i/>
          <w:sz w:val="24"/>
          <w:lang w:val="es-PR"/>
        </w:rPr>
        <w:t xml:space="preserve">PERMISO IMPUGNADO </w:t>
      </w:r>
      <w:r w:rsidR="00E6136F">
        <w:rPr>
          <w:rFonts w:ascii="Arial" w:hAnsi="Arial" w:cs="Arial"/>
          <w:bCs/>
          <w:sz w:val="24"/>
          <w:lang w:val="es-PR"/>
        </w:rPr>
        <w:t>nulo, tenía “</w:t>
      </w:r>
      <w:r w:rsidR="00E6136F" w:rsidRPr="00E6136F">
        <w:rPr>
          <w:rFonts w:ascii="Arial" w:hAnsi="Arial" w:cs="Arial"/>
          <w:bCs/>
          <w:iCs/>
          <w:sz w:val="24"/>
          <w:lang w:val="es-PR"/>
        </w:rPr>
        <w:t>la obligación de así hacerlo”</w:t>
      </w:r>
      <w:r w:rsidR="00E6136F">
        <w:rPr>
          <w:rFonts w:ascii="Arial" w:hAnsi="Arial" w:cs="Arial"/>
          <w:bCs/>
          <w:iCs/>
          <w:sz w:val="24"/>
          <w:lang w:val="es-ES"/>
        </w:rPr>
        <w:t xml:space="preserve"> , según </w:t>
      </w:r>
      <w:r w:rsidR="00E6136F">
        <w:rPr>
          <w:rFonts w:ascii="Arial" w:hAnsi="Arial" w:cs="Arial"/>
          <w:bCs/>
          <w:iCs/>
          <w:sz w:val="24"/>
          <w:u w:val="single"/>
          <w:lang w:val="es-ES"/>
        </w:rPr>
        <w:t>López García</w:t>
      </w:r>
      <w:r w:rsidR="00E6136F">
        <w:rPr>
          <w:rFonts w:ascii="Arial" w:hAnsi="Arial" w:cs="Arial"/>
          <w:bCs/>
          <w:iCs/>
          <w:sz w:val="24"/>
          <w:lang w:val="es-ES"/>
        </w:rPr>
        <w:t xml:space="preserve">, </w:t>
      </w:r>
      <w:r w:rsidR="00E6136F">
        <w:rPr>
          <w:rFonts w:ascii="Arial" w:hAnsi="Arial" w:cs="Arial"/>
          <w:bCs/>
          <w:i/>
          <w:iCs/>
          <w:sz w:val="24"/>
          <w:lang w:val="es-ES"/>
        </w:rPr>
        <w:t>supra</w:t>
      </w:r>
      <w:r w:rsidR="00E6136F">
        <w:rPr>
          <w:rFonts w:ascii="Arial" w:hAnsi="Arial" w:cs="Arial"/>
          <w:bCs/>
          <w:iCs/>
          <w:sz w:val="24"/>
          <w:lang w:val="es-ES"/>
        </w:rPr>
        <w:t>.</w:t>
      </w:r>
    </w:p>
    <w:p w:rsidR="007C0891" w:rsidRDefault="00E6136F" w:rsidP="00E6136F">
      <w:pPr>
        <w:pStyle w:val="BodyText"/>
        <w:tabs>
          <w:tab w:val="left" w:pos="360"/>
        </w:tabs>
        <w:jc w:val="both"/>
        <w:rPr>
          <w:rFonts w:ascii="Arial" w:hAnsi="Arial" w:cs="Arial"/>
          <w:bCs/>
          <w:iCs/>
          <w:sz w:val="24"/>
          <w:lang w:val="es-ES"/>
        </w:rPr>
      </w:pPr>
      <w:r>
        <w:rPr>
          <w:rFonts w:ascii="Arial" w:hAnsi="Arial" w:cs="Arial"/>
          <w:bCs/>
          <w:iCs/>
          <w:sz w:val="24"/>
          <w:lang w:val="es-ES"/>
        </w:rPr>
        <w:tab/>
        <w:t xml:space="preserve">Entonces, confrontado el Hon. TA con la misma alegación y fundamentación de la nulidad del permiso por ser un acto contra una ley prohibitiva, también este tenía la obligación de declarar nulo el </w:t>
      </w:r>
      <w:r>
        <w:rPr>
          <w:rFonts w:ascii="Arial" w:hAnsi="Arial" w:cs="Arial"/>
          <w:bCs/>
          <w:i/>
          <w:iCs/>
          <w:sz w:val="24"/>
          <w:lang w:val="es-ES"/>
        </w:rPr>
        <w:t>PERMISO IMPUGNADO</w:t>
      </w:r>
      <w:r>
        <w:rPr>
          <w:rFonts w:ascii="Arial" w:hAnsi="Arial" w:cs="Arial"/>
          <w:bCs/>
          <w:iCs/>
          <w:sz w:val="24"/>
          <w:lang w:val="es-ES"/>
        </w:rPr>
        <w:t>. Al así no hacerlo, incumplió en su obligación e incurrió en error, según respetuosamente entiende esta PARTE PETICIONARIA. Y así solicitamos que lo declare este Hon. Tribunal, luego de expedir el auto aquí solicitado.</w:t>
      </w:r>
    </w:p>
    <w:p w:rsidR="007C0891" w:rsidRDefault="007C0891" w:rsidP="00E6136F">
      <w:pPr>
        <w:pStyle w:val="BodyText"/>
        <w:tabs>
          <w:tab w:val="left" w:pos="360"/>
        </w:tabs>
        <w:jc w:val="both"/>
        <w:rPr>
          <w:rFonts w:ascii="Arial" w:hAnsi="Arial" w:cs="Arial"/>
          <w:bCs/>
          <w:iCs/>
          <w:sz w:val="24"/>
          <w:lang w:val="es-ES"/>
        </w:rPr>
      </w:pPr>
      <w:r>
        <w:rPr>
          <w:rFonts w:ascii="Arial" w:hAnsi="Arial" w:cs="Arial"/>
          <w:b/>
          <w:bCs/>
          <w:iCs/>
          <w:sz w:val="24"/>
          <w:lang w:val="es-ES"/>
        </w:rPr>
        <w:t>IX.</w:t>
      </w:r>
      <w:r>
        <w:rPr>
          <w:rFonts w:ascii="Arial" w:hAnsi="Arial" w:cs="Arial"/>
          <w:b/>
          <w:bCs/>
          <w:iCs/>
          <w:sz w:val="24"/>
          <w:lang w:val="es-ES"/>
        </w:rPr>
        <w:tab/>
        <w:t>CRITERIOS PARA LA EXPEDICIÓN DEL AUTO</w:t>
      </w:r>
    </w:p>
    <w:p w:rsidR="007C0891" w:rsidRDefault="007C0891" w:rsidP="007C0891">
      <w:pPr>
        <w:pStyle w:val="BodyText"/>
        <w:tabs>
          <w:tab w:val="left" w:pos="360"/>
        </w:tabs>
        <w:jc w:val="both"/>
        <w:rPr>
          <w:rFonts w:ascii="Arial" w:hAnsi="Arial" w:cs="Arial"/>
          <w:bCs/>
          <w:iCs/>
          <w:sz w:val="24"/>
          <w:lang w:val="es-ES"/>
        </w:rPr>
      </w:pPr>
      <w:r>
        <w:rPr>
          <w:rFonts w:ascii="Arial" w:hAnsi="Arial" w:cs="Arial"/>
          <w:bCs/>
          <w:iCs/>
          <w:sz w:val="24"/>
          <w:lang w:val="es-ES"/>
        </w:rPr>
        <w:tab/>
        <w:t xml:space="preserve">Esta PARTE RECURRENTE entiende que el remedio de la sentencia es contraria a derecho, primero, esta PARTE no ha tenido su día en corte cuando, según el derecho y los criterios para que se atendiera el RRA, y luego el RRJ, se cumplen por esta PARTE, según no fue parte en el proceso de evaluacion y otorgación del </w:t>
      </w:r>
      <w:r>
        <w:rPr>
          <w:rFonts w:ascii="Arial" w:hAnsi="Arial" w:cs="Arial"/>
          <w:bCs/>
          <w:i/>
          <w:iCs/>
          <w:sz w:val="24"/>
          <w:lang w:val="es-ES"/>
        </w:rPr>
        <w:t>PERMISO IMPUGNADO</w:t>
      </w:r>
      <w:r>
        <w:rPr>
          <w:rFonts w:ascii="Arial" w:hAnsi="Arial" w:cs="Arial"/>
          <w:bCs/>
          <w:iCs/>
          <w:sz w:val="24"/>
          <w:lang w:val="es-ES"/>
        </w:rPr>
        <w:t xml:space="preserve"> y el riesgo a daño que sufre esta PARTE; sobre todo cuando, según intimado, el mismo es nulo por contravenir ley prohibitiva, y así estaba obligado a declararlo el Hon. TA. </w:t>
      </w:r>
      <w:r w:rsidRPr="007C0891">
        <w:rPr>
          <w:rFonts w:ascii="Arial" w:hAnsi="Arial" w:cs="Arial"/>
          <w:bCs/>
          <w:iCs/>
          <w:sz w:val="24"/>
          <w:lang w:val="es-ES"/>
        </w:rPr>
        <w:t xml:space="preserve"> </w:t>
      </w:r>
    </w:p>
    <w:p w:rsidR="007C0891" w:rsidRPr="007C0891" w:rsidRDefault="007C0891" w:rsidP="007C0891">
      <w:pPr>
        <w:pStyle w:val="BodyText"/>
        <w:tabs>
          <w:tab w:val="left" w:pos="360"/>
        </w:tabs>
        <w:jc w:val="both"/>
        <w:rPr>
          <w:rFonts w:ascii="Arial" w:hAnsi="Arial" w:cs="Arial"/>
          <w:bCs/>
          <w:iCs/>
          <w:sz w:val="24"/>
          <w:lang w:val="es-ES"/>
        </w:rPr>
      </w:pPr>
      <w:r>
        <w:rPr>
          <w:rFonts w:ascii="Arial" w:hAnsi="Arial" w:cs="Arial"/>
          <w:bCs/>
          <w:iCs/>
          <w:sz w:val="24"/>
          <w:lang w:val="es-ES"/>
        </w:rPr>
        <w:tab/>
        <w:t xml:space="preserve">En este caso la cuestión planteada también es novel; antes, las partes debían atenerse a la determinación de susceptibilidad a deslizamientos que hicieran peritos en la materia pero ahora, con los adelantos tecnológicos que la GeoSpatial Act, </w:t>
      </w:r>
      <w:r>
        <w:rPr>
          <w:rFonts w:ascii="Arial" w:hAnsi="Arial" w:cs="Arial"/>
          <w:bCs/>
          <w:i/>
          <w:iCs/>
          <w:sz w:val="24"/>
          <w:lang w:val="es-ES"/>
        </w:rPr>
        <w:t>supra</w:t>
      </w:r>
      <w:r>
        <w:rPr>
          <w:rFonts w:ascii="Arial" w:hAnsi="Arial" w:cs="Arial"/>
          <w:bCs/>
          <w:iCs/>
          <w:sz w:val="24"/>
          <w:lang w:val="es-ES"/>
        </w:rPr>
        <w:t xml:space="preserve">, pone a disposicion de la ciudadanía, este conocimiento se ha diseminado y está al acceso de las comunidades, por lo que amerita que este Hon. Tribunal se exprese sobre las implicaciones del mismo. Por la misma razón, y por el creciente aumento en los deslizamientos de tierra </w:t>
      </w:r>
      <w:r w:rsidR="001B664B">
        <w:rPr>
          <w:rFonts w:ascii="Arial" w:hAnsi="Arial" w:cs="Arial"/>
          <w:bCs/>
          <w:iCs/>
          <w:sz w:val="24"/>
          <w:lang w:val="es-ES"/>
        </w:rPr>
        <w:t xml:space="preserve">por el calentamiento global y los fenómenos atmosféricos más intensos que está produciendo, la expresión de la norma en este aspecto es importante para el interés público. </w:t>
      </w:r>
    </w:p>
    <w:p w:rsidR="007C0891" w:rsidRPr="001B664B" w:rsidRDefault="001B664B" w:rsidP="007C0891">
      <w:pPr>
        <w:pStyle w:val="BodyText"/>
        <w:tabs>
          <w:tab w:val="left" w:pos="360"/>
        </w:tabs>
        <w:jc w:val="both"/>
        <w:rPr>
          <w:rFonts w:ascii="Arial" w:hAnsi="Arial" w:cs="Arial"/>
          <w:bCs/>
          <w:iCs/>
          <w:sz w:val="24"/>
          <w:lang w:val="es-ES"/>
        </w:rPr>
      </w:pPr>
      <w:r w:rsidRPr="007C0891">
        <w:rPr>
          <w:rFonts w:ascii="Arial" w:hAnsi="Arial" w:cs="Arial"/>
          <w:bCs/>
          <w:iCs/>
          <w:sz w:val="24"/>
          <w:lang w:val="es-ES"/>
        </w:rPr>
        <w:t xml:space="preserve"> </w:t>
      </w:r>
      <w:r>
        <w:rPr>
          <w:rFonts w:ascii="Arial" w:hAnsi="Arial" w:cs="Arial"/>
          <w:bCs/>
          <w:iCs/>
          <w:sz w:val="24"/>
          <w:lang w:val="es-ES"/>
        </w:rPr>
        <w:tab/>
        <w:t xml:space="preserve">También, en este caso </w:t>
      </w:r>
      <w:r w:rsidR="007C0891" w:rsidRPr="007C0891">
        <w:rPr>
          <w:rFonts w:ascii="Arial" w:hAnsi="Arial" w:cs="Arial"/>
          <w:bCs/>
          <w:iCs/>
          <w:sz w:val="24"/>
          <w:lang w:val="es-ES"/>
        </w:rPr>
        <w:t xml:space="preserve">los hechos expuestos presentan la situación más indicada para el </w:t>
      </w:r>
      <w:r>
        <w:rPr>
          <w:rFonts w:ascii="Arial" w:hAnsi="Arial" w:cs="Arial"/>
          <w:bCs/>
          <w:iCs/>
          <w:sz w:val="24"/>
          <w:lang w:val="es-ES"/>
        </w:rPr>
        <w:t xml:space="preserve">análisis del problema planteado; el Hon. Tribunal de Apelaciones hizo cinco (5) conclusiones precisas de porqué en este caso, a diferencia de lo alegado por esta PARTE, validó la notificación constructiva del </w:t>
      </w:r>
      <w:r>
        <w:rPr>
          <w:rFonts w:ascii="Arial" w:hAnsi="Arial" w:cs="Arial"/>
          <w:bCs/>
          <w:i/>
          <w:iCs/>
          <w:sz w:val="24"/>
          <w:lang w:val="es-ES"/>
        </w:rPr>
        <w:t>PERMISO IMPUGNADO</w:t>
      </w:r>
      <w:r>
        <w:rPr>
          <w:rFonts w:ascii="Arial" w:hAnsi="Arial" w:cs="Arial"/>
          <w:bCs/>
          <w:iCs/>
          <w:sz w:val="24"/>
          <w:lang w:val="es-ES"/>
        </w:rPr>
        <w:t xml:space="preserve">. También, el hecho de que la torre de telecomunicaciones se pretende construir en terrenos clasificados como susceptibles a deslizamiento está probado con prueba auténtica </w:t>
      </w:r>
      <w:r>
        <w:rPr>
          <w:rFonts w:ascii="Arial" w:hAnsi="Arial" w:cs="Arial"/>
          <w:bCs/>
          <w:i/>
          <w:iCs/>
          <w:sz w:val="24"/>
          <w:lang w:val="es-ES"/>
        </w:rPr>
        <w:t>prima facie</w:t>
      </w:r>
      <w:r>
        <w:rPr>
          <w:rFonts w:ascii="Arial" w:hAnsi="Arial" w:cs="Arial"/>
          <w:bCs/>
          <w:iCs/>
          <w:sz w:val="24"/>
          <w:lang w:val="es-ES"/>
        </w:rPr>
        <w:t xml:space="preserve">, según la </w:t>
      </w:r>
      <w:r>
        <w:rPr>
          <w:rFonts w:ascii="Arial" w:hAnsi="Arial" w:cs="Arial"/>
          <w:b/>
          <w:bCs/>
          <w:iCs/>
          <w:sz w:val="24"/>
          <w:lang w:val="es-ES"/>
        </w:rPr>
        <w:t xml:space="preserve">Regla 902(F) de las de Evidencia, </w:t>
      </w:r>
      <w:r>
        <w:rPr>
          <w:rFonts w:ascii="Arial" w:hAnsi="Arial" w:cs="Arial"/>
          <w:b/>
          <w:bCs/>
          <w:i/>
          <w:iCs/>
          <w:sz w:val="24"/>
          <w:lang w:val="es-ES"/>
        </w:rPr>
        <w:t>supra</w:t>
      </w:r>
      <w:r>
        <w:rPr>
          <w:rFonts w:ascii="Arial" w:hAnsi="Arial" w:cs="Arial"/>
          <w:bCs/>
          <w:iCs/>
          <w:sz w:val="24"/>
          <w:lang w:val="es-ES"/>
        </w:rPr>
        <w:t xml:space="preserve"> (publicación oficial emitida por autoridad pública), por lo que los hechos son suficientes para el análisis del problema, que es de mucho interés público. </w:t>
      </w:r>
    </w:p>
    <w:p w:rsidR="007C0891" w:rsidRPr="007C0891" w:rsidRDefault="001B664B" w:rsidP="007C0891">
      <w:pPr>
        <w:pStyle w:val="BodyText"/>
        <w:tabs>
          <w:tab w:val="left" w:pos="360"/>
        </w:tabs>
        <w:jc w:val="both"/>
        <w:rPr>
          <w:rFonts w:ascii="Arial" w:hAnsi="Arial" w:cs="Arial"/>
          <w:bCs/>
          <w:iCs/>
          <w:sz w:val="24"/>
          <w:lang w:val="es-ES"/>
        </w:rPr>
      </w:pPr>
      <w:r w:rsidRPr="007C0891">
        <w:rPr>
          <w:rFonts w:ascii="Arial" w:hAnsi="Arial" w:cs="Arial"/>
          <w:bCs/>
          <w:iCs/>
          <w:sz w:val="24"/>
          <w:lang w:val="es-ES"/>
        </w:rPr>
        <w:t xml:space="preserve"> </w:t>
      </w:r>
      <w:r>
        <w:rPr>
          <w:rFonts w:ascii="Arial" w:hAnsi="Arial" w:cs="Arial"/>
          <w:bCs/>
          <w:iCs/>
          <w:sz w:val="24"/>
          <w:lang w:val="es-ES"/>
        </w:rPr>
        <w:tab/>
        <w:t>Como se indicó, según la situación planteada, el riesgo a la vida, salud y seguridad de los RECURRENTES y sus familias y vecinos, l</w:t>
      </w:r>
      <w:r w:rsidR="007C0891" w:rsidRPr="007C0891">
        <w:rPr>
          <w:rFonts w:ascii="Arial" w:hAnsi="Arial" w:cs="Arial"/>
          <w:bCs/>
          <w:iCs/>
          <w:sz w:val="24"/>
          <w:lang w:val="es-ES"/>
        </w:rPr>
        <w:t xml:space="preserve">a cuestión exige una consideración más detenida a la luz de los autos, </w:t>
      </w:r>
      <w:r>
        <w:rPr>
          <w:rFonts w:ascii="Arial" w:hAnsi="Arial" w:cs="Arial"/>
          <w:bCs/>
          <w:iCs/>
          <w:sz w:val="24"/>
          <w:lang w:val="es-ES"/>
        </w:rPr>
        <w:t xml:space="preserve">porque la </w:t>
      </w:r>
      <w:r>
        <w:rPr>
          <w:rFonts w:ascii="Arial" w:hAnsi="Arial" w:cs="Arial"/>
          <w:bCs/>
          <w:i/>
          <w:iCs/>
          <w:sz w:val="24"/>
          <w:lang w:val="es-ES"/>
        </w:rPr>
        <w:t xml:space="preserve">SENTENCIA RRJ </w:t>
      </w:r>
      <w:r>
        <w:rPr>
          <w:rFonts w:ascii="Arial" w:hAnsi="Arial" w:cs="Arial"/>
          <w:bCs/>
          <w:iCs/>
          <w:sz w:val="24"/>
          <w:lang w:val="es-ES"/>
        </w:rPr>
        <w:t>no es el remedio adecuado para la situación</w:t>
      </w:r>
      <w:r w:rsidR="007C0891" w:rsidRPr="007C0891">
        <w:rPr>
          <w:rFonts w:ascii="Arial" w:hAnsi="Arial" w:cs="Arial"/>
          <w:bCs/>
          <w:iCs/>
          <w:sz w:val="24"/>
          <w:lang w:val="es-ES"/>
        </w:rPr>
        <w:t>.</w:t>
      </w:r>
      <w:r>
        <w:rPr>
          <w:rFonts w:ascii="Arial" w:hAnsi="Arial" w:cs="Arial"/>
          <w:bCs/>
          <w:iCs/>
          <w:sz w:val="24"/>
          <w:lang w:val="es-ES"/>
        </w:rPr>
        <w:t xml:space="preserve"> Máxime cuando </w:t>
      </w:r>
      <w:r w:rsidR="007C0891" w:rsidRPr="007C0891">
        <w:rPr>
          <w:rFonts w:ascii="Arial" w:hAnsi="Arial" w:cs="Arial"/>
          <w:bCs/>
          <w:iCs/>
          <w:sz w:val="24"/>
          <w:lang w:val="es-ES"/>
        </w:rPr>
        <w:t>la etapa en que se presenta el caso es la más</w:t>
      </w:r>
      <w:r>
        <w:rPr>
          <w:rFonts w:ascii="Arial" w:hAnsi="Arial" w:cs="Arial"/>
          <w:bCs/>
          <w:iCs/>
          <w:sz w:val="24"/>
          <w:lang w:val="es-ES"/>
        </w:rPr>
        <w:t xml:space="preserve"> propicia para su consideración, cuando la PARTE RECURRENTE está amenazada por la construcción en la que insiste QMC, a pesar de la certeza de la nulidad del PERMISO IMPUGNADO, esta etapa es crítica para que se le haga justicia a tiempo a los RECURRENTES, y no justicia tardía, que sería lo que probablemente tendrían si no se atiende el asunto con premura.</w:t>
      </w:r>
    </w:p>
    <w:p w:rsidR="007C0891" w:rsidRPr="00084B55" w:rsidRDefault="00084B55" w:rsidP="007C0891">
      <w:pPr>
        <w:pStyle w:val="BodyText"/>
        <w:tabs>
          <w:tab w:val="left" w:pos="360"/>
        </w:tabs>
        <w:jc w:val="both"/>
        <w:rPr>
          <w:rFonts w:ascii="Arial" w:hAnsi="Arial" w:cs="Arial"/>
          <w:bCs/>
          <w:iCs/>
          <w:sz w:val="24"/>
          <w:lang w:val="es-ES"/>
        </w:rPr>
      </w:pPr>
      <w:r>
        <w:rPr>
          <w:rFonts w:ascii="Arial" w:hAnsi="Arial" w:cs="Arial"/>
          <w:bCs/>
          <w:iCs/>
          <w:sz w:val="24"/>
          <w:lang w:val="es-ES"/>
        </w:rPr>
        <w:tab/>
        <w:t>Tampoco</w:t>
      </w:r>
      <w:r w:rsidR="007C0891" w:rsidRPr="007C0891">
        <w:rPr>
          <w:rFonts w:ascii="Arial" w:hAnsi="Arial" w:cs="Arial"/>
          <w:bCs/>
          <w:iCs/>
          <w:sz w:val="24"/>
          <w:lang w:val="es-ES"/>
        </w:rPr>
        <w:t xml:space="preserve"> la expedición del auto </w:t>
      </w:r>
      <w:r>
        <w:rPr>
          <w:rFonts w:ascii="Arial" w:hAnsi="Arial" w:cs="Arial"/>
          <w:bCs/>
          <w:iCs/>
          <w:sz w:val="24"/>
          <w:lang w:val="es-ES"/>
        </w:rPr>
        <w:t>causaría</w:t>
      </w:r>
      <w:r w:rsidR="007C0891" w:rsidRPr="007C0891">
        <w:rPr>
          <w:rFonts w:ascii="Arial" w:hAnsi="Arial" w:cs="Arial"/>
          <w:bCs/>
          <w:iCs/>
          <w:sz w:val="24"/>
          <w:lang w:val="es-ES"/>
        </w:rPr>
        <w:t xml:space="preserve"> un fracc</w:t>
      </w:r>
      <w:r>
        <w:rPr>
          <w:rFonts w:ascii="Arial" w:hAnsi="Arial" w:cs="Arial"/>
          <w:bCs/>
          <w:iCs/>
          <w:sz w:val="24"/>
          <w:lang w:val="es-ES"/>
        </w:rPr>
        <w:t>ionamiento indebido del pleito, ni</w:t>
      </w:r>
      <w:r w:rsidR="007C0891" w:rsidRPr="007C0891">
        <w:rPr>
          <w:rFonts w:ascii="Arial" w:hAnsi="Arial" w:cs="Arial"/>
          <w:bCs/>
          <w:iCs/>
          <w:sz w:val="24"/>
          <w:lang w:val="es-ES"/>
        </w:rPr>
        <w:t xml:space="preserve"> una dilación indeseable respecto </w:t>
      </w:r>
      <w:r>
        <w:rPr>
          <w:rFonts w:ascii="Arial" w:hAnsi="Arial" w:cs="Arial"/>
          <w:bCs/>
          <w:iCs/>
          <w:sz w:val="24"/>
          <w:lang w:val="es-ES"/>
        </w:rPr>
        <w:t xml:space="preserve">a la solución final del litigio; al contrario, sería la antención debida y que le urge a los RECURRENTES, poniéndole fin a un litigio que no debe extenderse ni un día más. Dilación indebida sería no resolver en los méritos las cuestiones planteadas, siendo nulo el </w:t>
      </w:r>
      <w:r>
        <w:rPr>
          <w:rFonts w:ascii="Arial" w:hAnsi="Arial" w:cs="Arial"/>
          <w:bCs/>
          <w:i/>
          <w:iCs/>
          <w:sz w:val="24"/>
          <w:lang w:val="es-ES"/>
        </w:rPr>
        <w:t xml:space="preserve">PERMISO IMPUGNADO </w:t>
      </w:r>
      <w:r>
        <w:rPr>
          <w:rFonts w:ascii="Arial" w:hAnsi="Arial" w:cs="Arial"/>
          <w:bCs/>
          <w:iCs/>
          <w:sz w:val="24"/>
          <w:lang w:val="es-ES"/>
        </w:rPr>
        <w:t>por ser contrario a una ley prohibitiva. El no resolver este caso obligaría a la PARTE RECURRENTE a la presentación de recursos adicionales, onerosos y que consumen mucho tiempo de las partes y del Tribunal, cuando esta PARTE entiende que existe la certeza de la nulidad del permiso, y así entiende que debe ser declarado, según la jurisprudencia de este Hon. Tribunal Supremo.</w:t>
      </w:r>
    </w:p>
    <w:p w:rsidR="007C0891" w:rsidRPr="007C0891" w:rsidRDefault="00084B55" w:rsidP="007C0891">
      <w:pPr>
        <w:pStyle w:val="BodyText"/>
        <w:tabs>
          <w:tab w:val="left" w:pos="360"/>
        </w:tabs>
        <w:jc w:val="both"/>
        <w:rPr>
          <w:rFonts w:ascii="Arial" w:hAnsi="Arial" w:cs="Arial"/>
          <w:bCs/>
          <w:iCs/>
          <w:sz w:val="24"/>
          <w:lang w:val="es-ES"/>
        </w:rPr>
      </w:pPr>
      <w:r>
        <w:rPr>
          <w:rFonts w:ascii="Arial" w:hAnsi="Arial" w:cs="Arial"/>
          <w:bCs/>
          <w:iCs/>
          <w:sz w:val="24"/>
          <w:lang w:val="es-ES"/>
        </w:rPr>
        <w:tab/>
        <w:t>Por lo ya expresado, l</w:t>
      </w:r>
      <w:r w:rsidR="007C0891" w:rsidRPr="007C0891">
        <w:rPr>
          <w:rFonts w:ascii="Arial" w:hAnsi="Arial" w:cs="Arial"/>
          <w:bCs/>
          <w:iCs/>
          <w:sz w:val="24"/>
          <w:lang w:val="es-ES"/>
        </w:rPr>
        <w:t xml:space="preserve">a concesión del auto </w:t>
      </w:r>
      <w:r>
        <w:rPr>
          <w:rFonts w:ascii="Arial" w:hAnsi="Arial" w:cs="Arial"/>
          <w:bCs/>
          <w:iCs/>
          <w:sz w:val="24"/>
          <w:lang w:val="es-ES"/>
        </w:rPr>
        <w:t>contribuye</w:t>
      </w:r>
      <w:r w:rsidR="007C0891" w:rsidRPr="007C0891">
        <w:rPr>
          <w:rFonts w:ascii="Arial" w:hAnsi="Arial" w:cs="Arial"/>
          <w:bCs/>
          <w:iCs/>
          <w:sz w:val="24"/>
          <w:lang w:val="es-ES"/>
        </w:rPr>
        <w:t xml:space="preserve"> a las funciones de este Tribunal de vindicar la ley</w:t>
      </w:r>
      <w:r>
        <w:rPr>
          <w:rFonts w:ascii="Arial" w:hAnsi="Arial" w:cs="Arial"/>
          <w:bCs/>
          <w:iCs/>
          <w:sz w:val="24"/>
          <w:lang w:val="es-ES"/>
        </w:rPr>
        <w:t xml:space="preserve"> y pautar el derecho en el país, sobre todo en esta nueva área vuelta pública de la susceptibilidad a deslizamientos de ciertos terrenos y la protección a la ciudadanía contra daños.</w:t>
      </w:r>
    </w:p>
    <w:p w:rsidR="007C0891" w:rsidRPr="007C0891" w:rsidRDefault="00084B55" w:rsidP="007C0891">
      <w:pPr>
        <w:pStyle w:val="BodyText"/>
        <w:tabs>
          <w:tab w:val="left" w:pos="360"/>
        </w:tabs>
        <w:jc w:val="both"/>
        <w:rPr>
          <w:rFonts w:ascii="Arial" w:hAnsi="Arial" w:cs="Arial"/>
          <w:bCs/>
          <w:iCs/>
          <w:sz w:val="24"/>
          <w:lang w:val="es-ES"/>
        </w:rPr>
      </w:pPr>
      <w:r>
        <w:rPr>
          <w:rFonts w:ascii="Arial" w:hAnsi="Arial" w:cs="Arial"/>
          <w:bCs/>
          <w:iCs/>
          <w:sz w:val="24"/>
          <w:lang w:val="es-ES"/>
        </w:rPr>
        <w:tab/>
        <w:t>Esta PARTE RECURRENTE humildemente entiende que</w:t>
      </w:r>
      <w:r w:rsidR="007C0891" w:rsidRPr="007C0891">
        <w:rPr>
          <w:rFonts w:ascii="Arial" w:hAnsi="Arial" w:cs="Arial"/>
          <w:bCs/>
          <w:iCs/>
          <w:sz w:val="24"/>
          <w:lang w:val="es-ES"/>
        </w:rPr>
        <w:t xml:space="preserve"> se ha cumplido con los requisitos</w:t>
      </w:r>
      <w:r>
        <w:rPr>
          <w:rFonts w:ascii="Arial" w:hAnsi="Arial" w:cs="Arial"/>
          <w:bCs/>
          <w:iCs/>
          <w:sz w:val="24"/>
          <w:lang w:val="es-ES"/>
        </w:rPr>
        <w:t xml:space="preserve"> pertinentes</w:t>
      </w:r>
      <w:r w:rsidR="007C0891" w:rsidRPr="007C0891">
        <w:rPr>
          <w:rFonts w:ascii="Arial" w:hAnsi="Arial" w:cs="Arial"/>
          <w:bCs/>
          <w:iCs/>
          <w:sz w:val="24"/>
          <w:lang w:val="es-ES"/>
        </w:rPr>
        <w:t xml:space="preserve"> que establece el Reglamento de este Tribunal.</w:t>
      </w:r>
      <w:r>
        <w:rPr>
          <w:rFonts w:ascii="Arial" w:hAnsi="Arial" w:cs="Arial"/>
          <w:bCs/>
          <w:iCs/>
          <w:sz w:val="24"/>
          <w:lang w:val="es-ES"/>
        </w:rPr>
        <w:t xml:space="preserve"> Y que</w:t>
      </w:r>
      <w:r w:rsidR="007C0891" w:rsidRPr="007C0891">
        <w:rPr>
          <w:rFonts w:ascii="Arial" w:hAnsi="Arial" w:cs="Arial"/>
          <w:bCs/>
          <w:iCs/>
          <w:sz w:val="24"/>
          <w:lang w:val="es-ES"/>
        </w:rPr>
        <w:t xml:space="preserve"> la expedición del auto o de la orden de mostrar causa evita un fracaso de la justicia.</w:t>
      </w:r>
    </w:p>
    <w:p w:rsidR="007C0891" w:rsidRPr="007C0891" w:rsidRDefault="007C0891" w:rsidP="00E6136F">
      <w:pPr>
        <w:pStyle w:val="BodyText"/>
        <w:tabs>
          <w:tab w:val="left" w:pos="360"/>
        </w:tabs>
        <w:jc w:val="both"/>
        <w:rPr>
          <w:rFonts w:ascii="Arial" w:hAnsi="Arial" w:cs="Arial"/>
          <w:b/>
          <w:bCs/>
          <w:iCs/>
          <w:sz w:val="24"/>
          <w:lang w:val="es-PR"/>
        </w:rPr>
      </w:pPr>
      <w:r>
        <w:rPr>
          <w:rFonts w:ascii="Arial" w:hAnsi="Arial" w:cs="Arial"/>
          <w:b/>
          <w:bCs/>
          <w:iCs/>
          <w:sz w:val="24"/>
          <w:lang w:val="es-ES"/>
        </w:rPr>
        <w:t>X.</w:t>
      </w:r>
      <w:r>
        <w:rPr>
          <w:rFonts w:ascii="Arial" w:hAnsi="Arial" w:cs="Arial"/>
          <w:b/>
          <w:bCs/>
          <w:iCs/>
          <w:sz w:val="24"/>
          <w:lang w:val="es-ES"/>
        </w:rPr>
        <w:tab/>
        <w:t>SÚPLICA</w:t>
      </w:r>
    </w:p>
    <w:p w:rsidR="002B26D3" w:rsidRDefault="002444AA" w:rsidP="00E6136F">
      <w:pPr>
        <w:spacing w:line="480" w:lineRule="auto"/>
        <w:ind w:firstLine="360"/>
        <w:jc w:val="both"/>
        <w:rPr>
          <w:rFonts w:ascii="Arial" w:hAnsi="Arial" w:cs="Arial"/>
          <w:lang w:val="es-ES_tradnl"/>
        </w:rPr>
      </w:pPr>
      <w:r w:rsidRPr="00B55561">
        <w:rPr>
          <w:rFonts w:ascii="Arial" w:hAnsi="Arial" w:cs="Arial"/>
          <w:b/>
          <w:lang w:val="es-ES_tradnl"/>
        </w:rPr>
        <w:t>POR TODO LO CUAL</w:t>
      </w:r>
      <w:r w:rsidRPr="00B55561">
        <w:rPr>
          <w:rFonts w:ascii="Arial" w:hAnsi="Arial" w:cs="Arial"/>
          <w:lang w:val="es-ES_tradnl"/>
        </w:rPr>
        <w:t xml:space="preserve">, se suplica de éste Honorable Tribunal, </w:t>
      </w:r>
      <w:r w:rsidR="00122C72" w:rsidRPr="00B55561">
        <w:rPr>
          <w:rFonts w:ascii="Arial" w:hAnsi="Arial" w:cs="Arial"/>
          <w:lang w:val="es-ES_tradnl"/>
        </w:rPr>
        <w:t>que</w:t>
      </w:r>
      <w:r w:rsidR="004E439E">
        <w:rPr>
          <w:rFonts w:ascii="Arial" w:hAnsi="Arial" w:cs="Arial"/>
          <w:lang w:val="es-ES_tradnl"/>
        </w:rPr>
        <w:t xml:space="preserve">, en atención a los hechos y derecho expuesto, </w:t>
      </w:r>
      <w:r w:rsidR="007C0891">
        <w:rPr>
          <w:rFonts w:ascii="Arial" w:hAnsi="Arial" w:cs="Arial"/>
          <w:lang w:val="es-ES_tradnl"/>
        </w:rPr>
        <w:t xml:space="preserve">expida el auto solicitado y, en su eventualidad, concluya que el Hon. Tribunal de Apelaciones cometió los errores señalados, revocando el </w:t>
      </w:r>
      <w:r w:rsidR="007C0891">
        <w:rPr>
          <w:rFonts w:ascii="Arial" w:hAnsi="Arial" w:cs="Arial"/>
          <w:i/>
          <w:lang w:val="es-ES_tradnl"/>
        </w:rPr>
        <w:t>PERMISO IMPUGNADO</w:t>
      </w:r>
      <w:r w:rsidR="007C0891">
        <w:rPr>
          <w:rFonts w:ascii="Arial" w:hAnsi="Arial" w:cs="Arial"/>
          <w:lang w:val="es-ES_tradnl"/>
        </w:rPr>
        <w:t xml:space="preserve"> por la nulidad del mismo</w:t>
      </w:r>
      <w:r w:rsidR="00025E29" w:rsidRPr="00B55561">
        <w:rPr>
          <w:rFonts w:ascii="Arial" w:hAnsi="Arial" w:cs="Arial"/>
          <w:lang w:val="es-ES_tradnl"/>
        </w:rPr>
        <w:t>,</w:t>
      </w:r>
      <w:r w:rsidR="0074028A" w:rsidRPr="00B55561">
        <w:rPr>
          <w:rFonts w:ascii="Arial" w:hAnsi="Arial" w:cs="Arial"/>
          <w:lang w:val="es-ES_tradnl"/>
        </w:rPr>
        <w:t xml:space="preserve"> con cualquier otro pronunciamiento que en derecho proceda</w:t>
      </w:r>
      <w:r w:rsidR="00BF172A" w:rsidRPr="00B55561">
        <w:rPr>
          <w:rFonts w:ascii="Arial" w:hAnsi="Arial" w:cs="Arial"/>
          <w:lang w:val="es-ES_tradnl"/>
        </w:rPr>
        <w:t xml:space="preserve">. </w:t>
      </w:r>
    </w:p>
    <w:p w:rsidR="007C0891" w:rsidRDefault="007C0891" w:rsidP="007C0891">
      <w:pPr>
        <w:tabs>
          <w:tab w:val="left" w:pos="360"/>
        </w:tabs>
        <w:spacing w:line="480" w:lineRule="auto"/>
        <w:jc w:val="both"/>
        <w:rPr>
          <w:rFonts w:ascii="Arial" w:hAnsi="Arial" w:cs="Arial"/>
          <w:lang w:val="es-ES_tradnl"/>
        </w:rPr>
      </w:pPr>
      <w:r>
        <w:rPr>
          <w:rFonts w:ascii="Arial" w:hAnsi="Arial" w:cs="Arial"/>
          <w:b/>
          <w:lang w:val="es-ES_tradnl"/>
        </w:rPr>
        <w:t>XI.</w:t>
      </w:r>
      <w:r>
        <w:rPr>
          <w:rFonts w:ascii="Arial" w:hAnsi="Arial" w:cs="Arial"/>
          <w:b/>
          <w:lang w:val="es-ES_tradnl"/>
        </w:rPr>
        <w:tab/>
        <w:t>CERTIFICACIÓN DE NOTIFICACIÓN</w:t>
      </w:r>
    </w:p>
    <w:p w:rsidR="007C0891" w:rsidRPr="00F66551" w:rsidRDefault="007C0891" w:rsidP="007C0891">
      <w:pPr>
        <w:spacing w:line="360" w:lineRule="auto"/>
        <w:ind w:firstLine="360"/>
        <w:jc w:val="both"/>
        <w:rPr>
          <w:rFonts w:ascii="Arial" w:hAnsi="Arial" w:cs="Arial"/>
          <w:lang w:val="es-PR"/>
        </w:rPr>
      </w:pPr>
      <w:r>
        <w:rPr>
          <w:rFonts w:ascii="Arial" w:hAnsi="Arial" w:cs="Arial"/>
          <w:lang w:val="es-ES_tradnl"/>
        </w:rPr>
        <w:tab/>
      </w:r>
      <w:r w:rsidRPr="00F66551">
        <w:rPr>
          <w:rFonts w:ascii="Arial" w:hAnsi="Arial" w:cs="Arial"/>
          <w:b/>
          <w:caps/>
          <w:lang w:val="es-PR"/>
        </w:rPr>
        <w:t>Certifico</w:t>
      </w:r>
      <w:r w:rsidRPr="00F66551">
        <w:rPr>
          <w:rFonts w:ascii="Arial" w:hAnsi="Arial" w:cs="Arial"/>
          <w:lang w:val="es-PR"/>
        </w:rPr>
        <w:t xml:space="preserve"> que en el día de hoy se envía copia fiel y exacta de este escrito, por correo</w:t>
      </w:r>
      <w:r>
        <w:rPr>
          <w:rFonts w:ascii="Arial" w:hAnsi="Arial" w:cs="Arial"/>
          <w:lang w:val="es-PR"/>
        </w:rPr>
        <w:t xml:space="preserve"> regular y correo electrónico</w:t>
      </w:r>
      <w:r w:rsidRPr="00F66551">
        <w:rPr>
          <w:rFonts w:ascii="Arial" w:hAnsi="Arial" w:cs="Arial"/>
          <w:lang w:val="es-PR"/>
        </w:rPr>
        <w:t>, a:</w:t>
      </w:r>
    </w:p>
    <w:p w:rsidR="007C0891" w:rsidRDefault="007C0891" w:rsidP="007C0891">
      <w:pPr>
        <w:numPr>
          <w:ilvl w:val="0"/>
          <w:numId w:val="35"/>
        </w:numPr>
        <w:spacing w:after="200" w:line="276" w:lineRule="auto"/>
        <w:ind w:left="720"/>
        <w:jc w:val="both"/>
        <w:rPr>
          <w:rFonts w:ascii="Arial" w:hAnsi="Arial" w:cs="Arial"/>
          <w:lang w:val="es-PR"/>
        </w:rPr>
      </w:pPr>
      <w:r w:rsidRPr="003E37A5">
        <w:rPr>
          <w:rFonts w:ascii="Arial" w:hAnsi="Arial" w:cs="Arial"/>
          <w:lang w:val="es-PR"/>
        </w:rPr>
        <w:t>HONORABLE OFICINA DE GERENCIA DE PERMISOS, a la dirección electrónica de su División Legal edmee.zeidan@ddec.pr.gov y a su División de Secretaría idta.rios@ddec.pr.gov</w:t>
      </w:r>
      <w:r>
        <w:rPr>
          <w:rFonts w:ascii="Arial" w:hAnsi="Arial" w:cs="Arial"/>
          <w:lang w:val="es-PR"/>
        </w:rPr>
        <w:t xml:space="preserve">, y por correo regular a </w:t>
      </w:r>
      <w:r w:rsidRPr="003E37A5">
        <w:rPr>
          <w:rFonts w:ascii="Arial" w:hAnsi="Arial" w:cs="Arial"/>
          <w:lang w:val="es-PR"/>
        </w:rPr>
        <w:t>.O. Box 41179,</w:t>
      </w:r>
      <w:r>
        <w:rPr>
          <w:rFonts w:ascii="Arial" w:hAnsi="Arial" w:cs="Arial"/>
          <w:lang w:val="es-PR"/>
        </w:rPr>
        <w:t xml:space="preserve"> </w:t>
      </w:r>
      <w:r w:rsidRPr="003E37A5">
        <w:rPr>
          <w:rFonts w:ascii="Arial" w:hAnsi="Arial" w:cs="Arial"/>
          <w:lang w:val="es-PR"/>
        </w:rPr>
        <w:t>San Juan Puerto Rico, 00940-1179</w:t>
      </w:r>
      <w:r>
        <w:rPr>
          <w:rFonts w:ascii="Arial" w:hAnsi="Arial" w:cs="Arial"/>
          <w:lang w:val="es-PR"/>
        </w:rPr>
        <w:t xml:space="preserve">. </w:t>
      </w:r>
    </w:p>
    <w:p w:rsidR="007C0891" w:rsidRPr="007C0891" w:rsidRDefault="007C0891" w:rsidP="007C0891">
      <w:pPr>
        <w:numPr>
          <w:ilvl w:val="0"/>
          <w:numId w:val="35"/>
        </w:numPr>
        <w:spacing w:after="200" w:line="276" w:lineRule="auto"/>
        <w:ind w:left="720"/>
        <w:jc w:val="both"/>
        <w:rPr>
          <w:rFonts w:ascii="Arial" w:hAnsi="Arial" w:cs="Arial"/>
          <w:lang w:val="es-PR"/>
        </w:rPr>
      </w:pPr>
      <w:r w:rsidRPr="007C0891">
        <w:rPr>
          <w:rFonts w:ascii="Arial" w:hAnsi="Arial" w:cs="Arial"/>
          <w:lang w:val="es-PR"/>
        </w:rPr>
        <w:t>PIETRANTONI MÉNDEZ &amp; ÁLVAREZ, LLC, específicamente al distinguido LCDO. HERMAN COLBERG-GUERRA por correo electrónico a hcolberg@pmalaw.com y por correo regular a Popular Center, Piso 19, 208 Avenida Ponce de León, San Juan, Puerto Rico 00918.</w:t>
      </w:r>
    </w:p>
    <w:p w:rsidR="002B26D3" w:rsidRPr="002B26D3" w:rsidRDefault="002B26D3" w:rsidP="002B26D3">
      <w:pPr>
        <w:tabs>
          <w:tab w:val="left" w:pos="360"/>
        </w:tabs>
        <w:spacing w:line="480" w:lineRule="auto"/>
        <w:jc w:val="both"/>
        <w:rPr>
          <w:rFonts w:ascii="Arial" w:hAnsi="Arial" w:cs="Arial"/>
          <w:bCs/>
          <w:lang w:val="es-ES"/>
        </w:rPr>
      </w:pPr>
      <w:r w:rsidRPr="002B26D3">
        <w:rPr>
          <w:rFonts w:ascii="Arial" w:hAnsi="Arial" w:cs="Arial"/>
          <w:b/>
          <w:bCs/>
          <w:lang w:val="es-ES"/>
        </w:rPr>
        <w:tab/>
        <w:t xml:space="preserve">RESPETUOSAMENTE SOMETIDO. </w:t>
      </w:r>
      <w:r w:rsidRPr="002B26D3">
        <w:rPr>
          <w:rFonts w:ascii="Arial" w:hAnsi="Arial" w:cs="Arial"/>
          <w:bCs/>
          <w:lang w:val="es-ES"/>
        </w:rPr>
        <w:t xml:space="preserve">En Juana Díaz para San Juan, Puerto Rico.  A </w:t>
      </w:r>
      <w:r w:rsidR="007C0891">
        <w:rPr>
          <w:rFonts w:ascii="Arial" w:hAnsi="Arial" w:cs="Arial"/>
          <w:bCs/>
          <w:lang w:val="es-ES"/>
        </w:rPr>
        <w:t>20</w:t>
      </w:r>
      <w:r w:rsidRPr="002B26D3">
        <w:rPr>
          <w:rFonts w:ascii="Arial" w:hAnsi="Arial" w:cs="Arial"/>
          <w:bCs/>
          <w:lang w:val="es-ES"/>
        </w:rPr>
        <w:t xml:space="preserve"> de </w:t>
      </w:r>
      <w:r w:rsidR="007C0891">
        <w:rPr>
          <w:rFonts w:ascii="Arial" w:hAnsi="Arial" w:cs="Arial"/>
          <w:bCs/>
          <w:lang w:val="es-ES"/>
        </w:rPr>
        <w:t>octubre de 2022</w:t>
      </w:r>
      <w:r w:rsidRPr="002B26D3">
        <w:rPr>
          <w:rFonts w:ascii="Arial" w:hAnsi="Arial" w:cs="Arial"/>
          <w:bCs/>
          <w:lang w:val="es-ES"/>
        </w:rPr>
        <w:t>.</w:t>
      </w:r>
    </w:p>
    <w:p w:rsidR="002B26D3" w:rsidRPr="002B26D3" w:rsidRDefault="002B26D3" w:rsidP="002B26D3">
      <w:pPr>
        <w:tabs>
          <w:tab w:val="left" w:pos="720"/>
        </w:tabs>
        <w:spacing w:line="276" w:lineRule="auto"/>
        <w:jc w:val="both"/>
        <w:rPr>
          <w:rFonts w:ascii="Arial" w:hAnsi="Arial" w:cs="Arial"/>
          <w:bCs/>
          <w:lang w:val="es-ES"/>
        </w:rPr>
      </w:pPr>
    </w:p>
    <w:p w:rsidR="002B26D3" w:rsidRDefault="002B26D3" w:rsidP="002B26D3">
      <w:pPr>
        <w:tabs>
          <w:tab w:val="left" w:pos="720"/>
        </w:tabs>
        <w:spacing w:line="276" w:lineRule="auto"/>
        <w:jc w:val="both"/>
        <w:rPr>
          <w:rFonts w:ascii="Arial" w:hAnsi="Arial" w:cs="Arial"/>
          <w:bCs/>
          <w:lang w:val="es-ES"/>
        </w:rPr>
      </w:pPr>
    </w:p>
    <w:p w:rsidR="00FE53A6" w:rsidRPr="002B26D3" w:rsidRDefault="00FE53A6" w:rsidP="002B26D3">
      <w:pPr>
        <w:tabs>
          <w:tab w:val="left" w:pos="720"/>
        </w:tabs>
        <w:spacing w:line="276" w:lineRule="auto"/>
        <w:jc w:val="both"/>
        <w:rPr>
          <w:rFonts w:ascii="Arial" w:hAnsi="Arial" w:cs="Arial"/>
          <w:bCs/>
          <w:lang w:val="es-ES"/>
        </w:rPr>
      </w:pPr>
    </w:p>
    <w:p w:rsidR="002B26D3" w:rsidRPr="002B26D3" w:rsidRDefault="002B26D3" w:rsidP="002B26D3">
      <w:pPr>
        <w:ind w:left="2160" w:firstLine="720"/>
        <w:rPr>
          <w:rFonts w:ascii="Arial" w:hAnsi="Arial" w:cs="Arial"/>
          <w:lang w:val="es-PR"/>
        </w:rPr>
      </w:pPr>
      <w:r w:rsidRPr="002B26D3">
        <w:rPr>
          <w:rFonts w:ascii="Arial" w:hAnsi="Arial" w:cs="Arial"/>
          <w:lang w:val="es-PR"/>
        </w:rPr>
        <w:t>_______________________________</w:t>
      </w:r>
    </w:p>
    <w:p w:rsidR="002B26D3" w:rsidRPr="002B26D3" w:rsidRDefault="002B26D3" w:rsidP="002B26D3">
      <w:pPr>
        <w:ind w:left="2160" w:firstLine="720"/>
        <w:rPr>
          <w:rFonts w:ascii="Arial" w:hAnsi="Arial" w:cs="Arial"/>
          <w:b/>
          <w:lang w:val="es-PR"/>
        </w:rPr>
      </w:pPr>
      <w:r w:rsidRPr="002B26D3">
        <w:rPr>
          <w:rFonts w:ascii="Arial" w:hAnsi="Arial" w:cs="Arial"/>
          <w:b/>
          <w:lang w:val="es-PR"/>
        </w:rPr>
        <w:t xml:space="preserve">Lcdo. Jesús M. Morales Irizarry   </w:t>
      </w:r>
    </w:p>
    <w:p w:rsidR="002B26D3" w:rsidRPr="002B26D3" w:rsidRDefault="002B26D3" w:rsidP="002B26D3">
      <w:pPr>
        <w:ind w:left="2160" w:firstLine="720"/>
        <w:rPr>
          <w:rFonts w:ascii="Arial" w:hAnsi="Arial" w:cs="Arial"/>
          <w:lang w:val="es-PR"/>
        </w:rPr>
      </w:pPr>
      <w:r w:rsidRPr="002B26D3">
        <w:rPr>
          <w:rFonts w:ascii="Arial" w:hAnsi="Arial" w:cs="Arial"/>
          <w:lang w:val="es-PR"/>
        </w:rPr>
        <w:t>RUA Número 20,284</w:t>
      </w:r>
    </w:p>
    <w:p w:rsidR="002B26D3" w:rsidRPr="002B26D3" w:rsidRDefault="002B26D3" w:rsidP="002B26D3">
      <w:pPr>
        <w:ind w:left="2160" w:firstLine="720"/>
        <w:rPr>
          <w:rFonts w:ascii="Arial" w:hAnsi="Arial" w:cs="Arial"/>
          <w:lang w:val="es-PR"/>
        </w:rPr>
      </w:pPr>
      <w:r w:rsidRPr="002B26D3">
        <w:rPr>
          <w:rFonts w:ascii="Arial" w:hAnsi="Arial" w:cs="Arial"/>
          <w:lang w:val="es-PR"/>
        </w:rPr>
        <w:t>Col. Número 20,859</w:t>
      </w:r>
    </w:p>
    <w:p w:rsidR="002B26D3" w:rsidRPr="002B26D3" w:rsidRDefault="002B26D3" w:rsidP="002B26D3">
      <w:pPr>
        <w:ind w:left="2160" w:firstLine="720"/>
        <w:rPr>
          <w:rFonts w:ascii="Arial" w:hAnsi="Arial" w:cs="Arial"/>
          <w:lang w:val="es-PR"/>
        </w:rPr>
      </w:pPr>
      <w:r w:rsidRPr="002B26D3">
        <w:rPr>
          <w:rFonts w:ascii="Arial" w:hAnsi="Arial" w:cs="Arial"/>
          <w:lang w:val="es-PR"/>
        </w:rPr>
        <w:t>P.O. Box 257</w:t>
      </w:r>
    </w:p>
    <w:p w:rsidR="002B26D3" w:rsidRPr="002B26D3" w:rsidRDefault="002B26D3" w:rsidP="002B26D3">
      <w:pPr>
        <w:ind w:left="2160" w:firstLine="720"/>
        <w:rPr>
          <w:rFonts w:ascii="Arial" w:hAnsi="Arial" w:cs="Arial"/>
          <w:lang w:val="es-PR"/>
        </w:rPr>
      </w:pPr>
      <w:r w:rsidRPr="002B26D3">
        <w:rPr>
          <w:rFonts w:ascii="Arial" w:hAnsi="Arial" w:cs="Arial"/>
          <w:lang w:val="es-PR"/>
        </w:rPr>
        <w:t>Mercedita, P.R. 00715.</w:t>
      </w:r>
    </w:p>
    <w:p w:rsidR="002B26D3" w:rsidRPr="002B26D3" w:rsidRDefault="002B26D3" w:rsidP="002B26D3">
      <w:pPr>
        <w:ind w:left="2160" w:firstLine="720"/>
        <w:rPr>
          <w:rFonts w:ascii="Arial" w:hAnsi="Arial" w:cs="Arial"/>
          <w:lang w:val="es-PR"/>
        </w:rPr>
      </w:pPr>
      <w:r w:rsidRPr="002B26D3">
        <w:rPr>
          <w:rFonts w:ascii="Arial" w:hAnsi="Arial" w:cs="Arial"/>
          <w:lang w:val="es-PR"/>
        </w:rPr>
        <w:t>(787) 685-0322.</w:t>
      </w:r>
    </w:p>
    <w:p w:rsidR="002A6C35" w:rsidRPr="00B55561" w:rsidRDefault="002B26D3" w:rsidP="002B26D3">
      <w:pPr>
        <w:spacing w:line="480" w:lineRule="auto"/>
        <w:ind w:firstLine="720"/>
        <w:jc w:val="both"/>
        <w:rPr>
          <w:rFonts w:ascii="Arial" w:hAnsi="Arial" w:cs="Arial"/>
          <w:i/>
          <w:iCs/>
        </w:rPr>
      </w:pPr>
      <w:r>
        <w:rPr>
          <w:rFonts w:ascii="Arial" w:hAnsi="Arial" w:cs="Arial"/>
          <w:lang w:val="es-PR"/>
        </w:rPr>
        <w:tab/>
      </w:r>
      <w:r>
        <w:rPr>
          <w:rFonts w:ascii="Arial" w:hAnsi="Arial" w:cs="Arial"/>
          <w:lang w:val="es-PR"/>
        </w:rPr>
        <w:tab/>
      </w:r>
      <w:r>
        <w:rPr>
          <w:rFonts w:ascii="Arial" w:hAnsi="Arial" w:cs="Arial"/>
          <w:lang w:val="es-PR"/>
        </w:rPr>
        <w:tab/>
      </w:r>
      <w:r w:rsidRPr="002B26D3">
        <w:rPr>
          <w:rFonts w:ascii="Arial" w:hAnsi="Arial" w:cs="Arial"/>
          <w:lang w:val="es-PR"/>
        </w:rPr>
        <w:t>lcdo.moralesirizarry@gmail.com.</w:t>
      </w:r>
    </w:p>
    <w:sectPr w:rsidR="002A6C35" w:rsidRPr="00B55561" w:rsidSect="007E089F">
      <w:headerReference w:type="default" r:id="rId8"/>
      <w:footerReference w:type="even" r:id="rId9"/>
      <w:footerReference w:type="default" r:id="rId10"/>
      <w:pgSz w:w="12240" w:h="20160" w:code="5"/>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323" w:rsidRDefault="007D3323">
      <w:r>
        <w:separator/>
      </w:r>
    </w:p>
  </w:endnote>
  <w:endnote w:type="continuationSeparator" w:id="0">
    <w:p w:rsidR="007D3323" w:rsidRDefault="007D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891" w:rsidRDefault="007C0891" w:rsidP="00BF1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0891" w:rsidRDefault="007C0891" w:rsidP="00BF17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891" w:rsidRDefault="007C0891">
    <w:pPr>
      <w:pStyle w:val="Footer"/>
      <w:jc w:val="right"/>
    </w:pPr>
    <w:r>
      <w:fldChar w:fldCharType="begin"/>
    </w:r>
    <w:r>
      <w:instrText xml:space="preserve"> PAGE   \* MERGEFORMAT </w:instrText>
    </w:r>
    <w:r>
      <w:fldChar w:fldCharType="separate"/>
    </w:r>
    <w:r w:rsidR="002613B7">
      <w:rPr>
        <w:noProof/>
      </w:rPr>
      <w:t>24</w:t>
    </w:r>
    <w:r>
      <w:rPr>
        <w:noProof/>
      </w:rPr>
      <w:fldChar w:fldCharType="end"/>
    </w:r>
  </w:p>
  <w:p w:rsidR="007C0891" w:rsidRDefault="007C0891" w:rsidP="00BF17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323" w:rsidRDefault="007D3323">
      <w:r>
        <w:separator/>
      </w:r>
    </w:p>
  </w:footnote>
  <w:footnote w:type="continuationSeparator" w:id="0">
    <w:p w:rsidR="007D3323" w:rsidRDefault="007D3323">
      <w:r>
        <w:continuationSeparator/>
      </w:r>
    </w:p>
  </w:footnote>
  <w:footnote w:id="1">
    <w:p w:rsidR="007C0891" w:rsidRPr="00D53C56" w:rsidRDefault="007C0891">
      <w:pPr>
        <w:pStyle w:val="FootnoteText"/>
        <w:rPr>
          <w:lang w:val="es-PR"/>
        </w:rPr>
      </w:pPr>
      <w:r>
        <w:rPr>
          <w:rStyle w:val="FootnoteReference"/>
        </w:rPr>
        <w:footnoteRef/>
      </w:r>
      <w:r w:rsidRPr="00F909F2">
        <w:rPr>
          <w:lang w:val="es-PR"/>
        </w:rPr>
        <w:t xml:space="preserve"> </w:t>
      </w:r>
      <w:r w:rsidRPr="00D53C56">
        <w:rPr>
          <w:u w:val="single"/>
          <w:lang w:val="es-PR"/>
        </w:rPr>
        <w:t>Mun. de Caguas v ATT</w:t>
      </w:r>
      <w:r>
        <w:rPr>
          <w:lang w:val="es-PR"/>
        </w:rPr>
        <w:t xml:space="preserve">, </w:t>
      </w:r>
      <w:r w:rsidRPr="00F909F2">
        <w:rPr>
          <w:lang w:val="es-PR"/>
        </w:rPr>
        <w:t>2001 T</w:t>
      </w:r>
      <w:r>
        <w:rPr>
          <w:lang w:val="es-PR"/>
        </w:rPr>
        <w:t>.</w:t>
      </w:r>
      <w:r w:rsidRPr="00F909F2">
        <w:rPr>
          <w:lang w:val="es-PR"/>
        </w:rPr>
        <w:t>S</w:t>
      </w:r>
      <w:r>
        <w:rPr>
          <w:lang w:val="es-PR"/>
        </w:rPr>
        <w:t>.</w:t>
      </w:r>
      <w:r w:rsidRPr="00F909F2">
        <w:rPr>
          <w:lang w:val="es-PR"/>
        </w:rPr>
        <w:t>P</w:t>
      </w:r>
      <w:r>
        <w:rPr>
          <w:lang w:val="es-PR"/>
        </w:rPr>
        <w:t>.</w:t>
      </w:r>
      <w:r w:rsidRPr="00F909F2">
        <w:rPr>
          <w:lang w:val="es-PR"/>
        </w:rPr>
        <w:t>R</w:t>
      </w:r>
      <w:r>
        <w:rPr>
          <w:lang w:val="es-PR"/>
        </w:rPr>
        <w:t>.</w:t>
      </w:r>
      <w:r w:rsidRPr="00F909F2">
        <w:rPr>
          <w:lang w:val="es-PR"/>
        </w:rPr>
        <w:t xml:space="preserve"> 93</w:t>
      </w:r>
      <w:r>
        <w:rPr>
          <w:lang w:val="es-PR"/>
        </w:rPr>
        <w:t xml:space="preserve">, pág. 9; </w:t>
      </w:r>
      <w:r w:rsidRPr="00D53C56">
        <w:rPr>
          <w:u w:val="single"/>
          <w:lang w:val="es-PR"/>
        </w:rPr>
        <w:t>Asoc. Residentes v Montebello</w:t>
      </w:r>
      <w:r>
        <w:rPr>
          <w:lang w:val="es-PR"/>
        </w:rPr>
        <w:t xml:space="preserve">, </w:t>
      </w:r>
      <w:r>
        <w:rPr>
          <w:i/>
          <w:lang w:val="es-PR"/>
        </w:rPr>
        <w:t>supra</w:t>
      </w:r>
      <w:r>
        <w:rPr>
          <w:lang w:val="es-PR"/>
        </w:rPr>
        <w:t>, pág. 421.</w:t>
      </w:r>
    </w:p>
  </w:footnote>
  <w:footnote w:id="2">
    <w:p w:rsidR="007C0891" w:rsidRPr="00D53C56" w:rsidRDefault="007C0891">
      <w:pPr>
        <w:pStyle w:val="FootnoteText"/>
        <w:rPr>
          <w:lang w:val="es-PR"/>
        </w:rPr>
      </w:pPr>
      <w:r>
        <w:rPr>
          <w:rStyle w:val="FootnoteReference"/>
        </w:rPr>
        <w:footnoteRef/>
      </w:r>
      <w:r w:rsidRPr="00D53C56">
        <w:rPr>
          <w:lang w:val="es-PR"/>
        </w:rPr>
        <w:t xml:space="preserve"> </w:t>
      </w:r>
      <w:r>
        <w:rPr>
          <w:u w:val="single"/>
          <w:lang w:val="es-PR"/>
        </w:rPr>
        <w:t>Mun. de Caguas v ATT</w:t>
      </w:r>
      <w:r>
        <w:rPr>
          <w:lang w:val="es-PR"/>
        </w:rPr>
        <w:t xml:space="preserve">, </w:t>
      </w:r>
      <w:r>
        <w:rPr>
          <w:i/>
          <w:lang w:val="es-PR"/>
        </w:rPr>
        <w:t>supra</w:t>
      </w:r>
      <w:r>
        <w:rPr>
          <w:lang w:val="es-PR"/>
        </w:rPr>
        <w:t>, pág. 10.</w:t>
      </w:r>
    </w:p>
  </w:footnote>
  <w:footnote w:id="3">
    <w:p w:rsidR="007C0891" w:rsidRPr="00672E91" w:rsidRDefault="007C0891">
      <w:pPr>
        <w:pStyle w:val="FootnoteText"/>
        <w:rPr>
          <w:b/>
          <w:lang w:val="es-PR"/>
        </w:rPr>
      </w:pPr>
      <w:r>
        <w:rPr>
          <w:rStyle w:val="FootnoteReference"/>
        </w:rPr>
        <w:footnoteRef/>
      </w:r>
      <w:r w:rsidRPr="001255FD">
        <w:rPr>
          <w:lang w:val="es-PR"/>
        </w:rPr>
        <w:t xml:space="preserve"> </w:t>
      </w:r>
      <w:r>
        <w:rPr>
          <w:lang w:val="es-PR"/>
        </w:rPr>
        <w:t xml:space="preserve">Véase la </w:t>
      </w:r>
      <w:r>
        <w:rPr>
          <w:i/>
          <w:lang w:val="es-PR"/>
        </w:rPr>
        <w:t xml:space="preserve">Certificación de Notificación </w:t>
      </w:r>
      <w:r>
        <w:rPr>
          <w:lang w:val="es-PR"/>
        </w:rPr>
        <w:t xml:space="preserve">del </w:t>
      </w:r>
      <w:r>
        <w:rPr>
          <w:i/>
          <w:lang w:val="es-PR"/>
        </w:rPr>
        <w:t xml:space="preserve">PERMISO IMPUGNADO </w:t>
      </w:r>
      <w:r>
        <w:rPr>
          <w:lang w:val="es-PR"/>
        </w:rPr>
        <w:t xml:space="preserve">(o la falta de la misma, según requerido por el </w:t>
      </w:r>
      <w:r>
        <w:rPr>
          <w:b/>
          <w:lang w:val="es-PR"/>
        </w:rPr>
        <w:t xml:space="preserve">art. 8.8, Ley Núm. 161, </w:t>
      </w:r>
      <w:r>
        <w:rPr>
          <w:b/>
          <w:i/>
          <w:lang w:val="es-PR"/>
        </w:rPr>
        <w:t>supra</w:t>
      </w:r>
      <w:r>
        <w:rPr>
          <w:lang w:val="es-PR"/>
        </w:rPr>
        <w:t xml:space="preserve">) en el </w:t>
      </w:r>
      <w:r>
        <w:rPr>
          <w:b/>
          <w:lang w:val="es-PR"/>
        </w:rPr>
        <w:t xml:space="preserve">Apéndice de la Solicitud de auto de </w:t>
      </w:r>
      <w:r>
        <w:rPr>
          <w:b/>
          <w:i/>
          <w:lang w:val="es-PR"/>
        </w:rPr>
        <w:t>Certiorari</w:t>
      </w:r>
      <w:r>
        <w:rPr>
          <w:b/>
          <w:lang w:val="es-PR"/>
        </w:rPr>
        <w:t xml:space="preserve"> de epígrafe </w:t>
      </w:r>
      <w:r>
        <w:rPr>
          <w:lang w:val="es-PR"/>
        </w:rPr>
        <w:t xml:space="preserve">(en adelante </w:t>
      </w:r>
      <w:r>
        <w:rPr>
          <w:b/>
          <w:lang w:val="es-PR"/>
        </w:rPr>
        <w:t>Ap.</w:t>
      </w:r>
      <w:r>
        <w:rPr>
          <w:lang w:val="es-PR"/>
        </w:rPr>
        <w:t xml:space="preserve">), </w:t>
      </w:r>
      <w:r>
        <w:rPr>
          <w:b/>
          <w:lang w:val="es-PR"/>
        </w:rPr>
        <w:t>pág.</w:t>
      </w:r>
      <w:r w:rsidR="004971D4">
        <w:rPr>
          <w:b/>
          <w:lang w:val="es-PR"/>
        </w:rPr>
        <w:t xml:space="preserve"> 116</w:t>
      </w:r>
      <w:r>
        <w:rPr>
          <w:b/>
          <w:lang w:val="es-PR"/>
        </w:rPr>
        <w:t>.</w:t>
      </w:r>
    </w:p>
  </w:footnote>
  <w:footnote w:id="4">
    <w:p w:rsidR="007C0891" w:rsidRPr="006C6994" w:rsidRDefault="007C0891">
      <w:pPr>
        <w:pStyle w:val="FootnoteText"/>
        <w:rPr>
          <w:lang w:val="es-PR"/>
        </w:rPr>
      </w:pPr>
      <w:r>
        <w:rPr>
          <w:rStyle w:val="FootnoteReference"/>
        </w:rPr>
        <w:footnoteRef/>
      </w:r>
      <w:r w:rsidRPr="006C6994">
        <w:rPr>
          <w:lang w:val="es-PR"/>
        </w:rPr>
        <w:t xml:space="preserve"> Según el </w:t>
      </w:r>
      <w:r w:rsidRPr="006C6994">
        <w:rPr>
          <w:b/>
          <w:lang w:val="es-PR"/>
        </w:rPr>
        <w:t xml:space="preserve">art. 11.6(a), Ley Núm. 161, </w:t>
      </w:r>
      <w:r w:rsidRPr="006C6994">
        <w:rPr>
          <w:b/>
          <w:i/>
          <w:lang w:val="es-PR"/>
        </w:rPr>
        <w:t>infra</w:t>
      </w:r>
      <w:r w:rsidRPr="006C6994">
        <w:rPr>
          <w:lang w:val="es-PR"/>
        </w:rPr>
        <w:t xml:space="preserve"> (según se cita y discute en el primer señalamiento de error)</w:t>
      </w:r>
      <w:r>
        <w:rPr>
          <w:lang w:val="es-PR"/>
        </w:rPr>
        <w:t>.</w:t>
      </w:r>
    </w:p>
  </w:footnote>
  <w:footnote w:id="5">
    <w:p w:rsidR="007C0891" w:rsidRPr="006C6994" w:rsidRDefault="007C0891">
      <w:pPr>
        <w:pStyle w:val="FootnoteText"/>
        <w:rPr>
          <w:lang w:val="es-PR"/>
        </w:rPr>
      </w:pPr>
      <w:r>
        <w:rPr>
          <w:rStyle w:val="FootnoteReference"/>
        </w:rPr>
        <w:footnoteRef/>
      </w:r>
      <w:r w:rsidRPr="006C6994">
        <w:rPr>
          <w:lang w:val="es-PR"/>
        </w:rPr>
        <w:t xml:space="preserve"> </w:t>
      </w:r>
      <w:r>
        <w:rPr>
          <w:lang w:val="es-PR"/>
        </w:rPr>
        <w:t xml:space="preserve">Según define “parte” la </w:t>
      </w:r>
      <w:r>
        <w:rPr>
          <w:b/>
          <w:lang w:val="es-PR"/>
        </w:rPr>
        <w:t xml:space="preserve">sec. 1.3(k), Ley Núm. 38, </w:t>
      </w:r>
      <w:r>
        <w:rPr>
          <w:b/>
          <w:i/>
          <w:lang w:val="es-PR"/>
        </w:rPr>
        <w:t>infra</w:t>
      </w:r>
      <w:r>
        <w:rPr>
          <w:lang w:val="es-PR"/>
        </w:rPr>
        <w:t xml:space="preserve">, por conducto del </w:t>
      </w:r>
      <w:r>
        <w:rPr>
          <w:b/>
          <w:lang w:val="es-PR"/>
        </w:rPr>
        <w:t xml:space="preserve">art. 1.5(56), Ley Núm. 161, </w:t>
      </w:r>
      <w:r>
        <w:rPr>
          <w:b/>
          <w:i/>
          <w:lang w:val="es-PR"/>
        </w:rPr>
        <w:t>infra</w:t>
      </w:r>
      <w:r>
        <w:rPr>
          <w:lang w:val="es-PR"/>
        </w:rPr>
        <w:t xml:space="preserve"> (según se citan y discuten en el primer señalamiento de error).</w:t>
      </w:r>
    </w:p>
  </w:footnote>
  <w:footnote w:id="6">
    <w:p w:rsidR="007C0891" w:rsidRPr="00BD16EF" w:rsidRDefault="007C0891">
      <w:pPr>
        <w:pStyle w:val="FootnoteText"/>
        <w:rPr>
          <w:lang w:val="es-PR"/>
        </w:rPr>
      </w:pPr>
      <w:r>
        <w:rPr>
          <w:rStyle w:val="FootnoteReference"/>
        </w:rPr>
        <w:footnoteRef/>
      </w:r>
      <w:r w:rsidRPr="00BD16EF">
        <w:rPr>
          <w:lang w:val="es-PR"/>
        </w:rPr>
        <w:t xml:space="preserve"> </w:t>
      </w:r>
      <w:r>
        <w:rPr>
          <w:lang w:val="es-PR"/>
        </w:rPr>
        <w:t xml:space="preserve">Según los </w:t>
      </w:r>
      <w:r>
        <w:rPr>
          <w:b/>
          <w:lang w:val="es-PR"/>
        </w:rPr>
        <w:t xml:space="preserve">art. 8.8, 8.8A y 8.9, Ley Núm. 161, </w:t>
      </w:r>
      <w:r>
        <w:rPr>
          <w:b/>
          <w:i/>
          <w:lang w:val="es-PR"/>
        </w:rPr>
        <w:t xml:space="preserve">infra </w:t>
      </w:r>
      <w:r>
        <w:rPr>
          <w:lang w:val="es-PR"/>
        </w:rPr>
        <w:t>(según se cita y discute en el primer señalamiento de error).</w:t>
      </w:r>
    </w:p>
  </w:footnote>
  <w:footnote w:id="7">
    <w:p w:rsidR="007C0891" w:rsidRPr="00027BFE" w:rsidRDefault="007C0891">
      <w:pPr>
        <w:pStyle w:val="FootnoteText"/>
        <w:rPr>
          <w:lang w:val="es-PR"/>
        </w:rPr>
      </w:pPr>
      <w:r>
        <w:rPr>
          <w:rStyle w:val="FootnoteReference"/>
        </w:rPr>
        <w:footnoteRef/>
      </w:r>
      <w:r w:rsidRPr="00027BFE">
        <w:rPr>
          <w:lang w:val="es-PR"/>
        </w:rPr>
        <w:t xml:space="preserve"> </w:t>
      </w:r>
      <w:r>
        <w:rPr>
          <w:lang w:val="es-PR"/>
        </w:rPr>
        <w:t xml:space="preserve">Según el </w:t>
      </w:r>
      <w:r>
        <w:rPr>
          <w:b/>
          <w:lang w:val="es-PR"/>
        </w:rPr>
        <w:t xml:space="preserve">art. 11.6(a), Ley Núm. 161, </w:t>
      </w:r>
      <w:r>
        <w:rPr>
          <w:b/>
          <w:i/>
          <w:lang w:val="es-PR"/>
        </w:rPr>
        <w:t>infra</w:t>
      </w:r>
      <w:r>
        <w:rPr>
          <w:lang w:val="es-PR"/>
        </w:rPr>
        <w:t xml:space="preserve"> (según se cita y discute en el primer señalamiento de error).</w:t>
      </w:r>
    </w:p>
  </w:footnote>
  <w:footnote w:id="8">
    <w:p w:rsidR="007C0891" w:rsidRPr="001255FD" w:rsidRDefault="007C0891" w:rsidP="006C6994">
      <w:pPr>
        <w:pStyle w:val="FootnoteText"/>
        <w:jc w:val="both"/>
        <w:rPr>
          <w:b/>
          <w:lang w:val="es-PR"/>
        </w:rPr>
      </w:pPr>
      <w:r>
        <w:rPr>
          <w:rStyle w:val="FootnoteReference"/>
        </w:rPr>
        <w:footnoteRef/>
      </w:r>
      <w:r w:rsidRPr="001255FD">
        <w:rPr>
          <w:lang w:val="es-PR"/>
        </w:rPr>
        <w:t xml:space="preserve"> </w:t>
      </w:r>
      <w:r>
        <w:rPr>
          <w:lang w:val="es-PR"/>
        </w:rPr>
        <w:t xml:space="preserve">(énfasis en el original) véase en </w:t>
      </w:r>
      <w:r>
        <w:rPr>
          <w:u w:val="single"/>
          <w:lang w:val="es-PR"/>
        </w:rPr>
        <w:t>Torres Trinidad y Otros v OGPe y QMC Telecom</w:t>
      </w:r>
      <w:r>
        <w:rPr>
          <w:lang w:val="es-PR"/>
        </w:rPr>
        <w:t xml:space="preserve">, T.A. Núm. KLRA202200426, </w:t>
      </w:r>
      <w:r>
        <w:rPr>
          <w:i/>
          <w:lang w:val="es-PR"/>
        </w:rPr>
        <w:t xml:space="preserve">SENTENCIA </w:t>
      </w:r>
      <w:r>
        <w:rPr>
          <w:lang w:val="es-PR"/>
        </w:rPr>
        <w:t xml:space="preserve">de 11 de octubre de 2022, disponible en </w:t>
      </w:r>
      <w:r>
        <w:rPr>
          <w:b/>
          <w:lang w:val="es-PR"/>
        </w:rPr>
        <w:t>Ap.</w:t>
      </w:r>
      <w:r>
        <w:rPr>
          <w:lang w:val="es-PR"/>
        </w:rPr>
        <w:t xml:space="preserve">, </w:t>
      </w:r>
      <w:r>
        <w:rPr>
          <w:b/>
          <w:lang w:val="es-PR"/>
        </w:rPr>
        <w:t>última oración, 1er párrafo, pág. 5.</w:t>
      </w:r>
    </w:p>
  </w:footnote>
  <w:footnote w:id="9">
    <w:p w:rsidR="007C0891" w:rsidRPr="00230C09" w:rsidRDefault="007C0891" w:rsidP="00C8412F">
      <w:pPr>
        <w:pStyle w:val="FootnoteText"/>
        <w:jc w:val="both"/>
        <w:rPr>
          <w:rFonts w:ascii="Segoe UI Symbol" w:eastAsia="MS Mincho" w:hAnsi="Segoe UI Symbol"/>
          <w:b/>
          <w:lang w:val="es-PR" w:eastAsia="ja-JP"/>
        </w:rPr>
      </w:pPr>
      <w:r>
        <w:rPr>
          <w:rStyle w:val="FootnoteReference"/>
        </w:rPr>
        <w:footnoteRef/>
      </w:r>
      <w:r w:rsidRPr="00230C09">
        <w:rPr>
          <w:lang w:val="es-PR"/>
        </w:rPr>
        <w:t xml:space="preserve"> </w:t>
      </w:r>
      <w:r>
        <w:rPr>
          <w:lang w:val="es-PR"/>
        </w:rPr>
        <w:t xml:space="preserve">Véase la notificación del procesamiento del pago del recurso presentado, con hora de notificación a las 0:00 a.m. del 22 de junio de 2022 (esquina superior derecha), en </w:t>
      </w:r>
      <w:r>
        <w:rPr>
          <w:b/>
          <w:lang w:val="es-PR"/>
        </w:rPr>
        <w:t>Ap., pág.</w:t>
      </w:r>
      <w:r w:rsidR="004971D4">
        <w:rPr>
          <w:b/>
          <w:lang w:val="es-PR"/>
        </w:rPr>
        <w:t xml:space="preserve"> 153</w:t>
      </w:r>
      <w:r>
        <w:rPr>
          <w:b/>
          <w:lang w:val="es-PR"/>
        </w:rPr>
        <w:t>.</w:t>
      </w:r>
    </w:p>
  </w:footnote>
  <w:footnote w:id="10">
    <w:p w:rsidR="007C0891" w:rsidRPr="00672E91" w:rsidRDefault="007C0891" w:rsidP="006D3EAF">
      <w:pPr>
        <w:pStyle w:val="FootnoteText"/>
        <w:jc w:val="both"/>
        <w:rPr>
          <w:lang w:val="es-PR"/>
        </w:rPr>
      </w:pPr>
      <w:r>
        <w:rPr>
          <w:rStyle w:val="FootnoteReference"/>
        </w:rPr>
        <w:footnoteRef/>
      </w:r>
      <w:r w:rsidRPr="00672E91">
        <w:rPr>
          <w:lang w:val="es-PR"/>
        </w:rPr>
        <w:t xml:space="preserve"> </w:t>
      </w:r>
      <w:r>
        <w:rPr>
          <w:lang w:val="es-PR"/>
        </w:rPr>
        <w:t xml:space="preserve">Del </w:t>
      </w:r>
      <w:r>
        <w:rPr>
          <w:b/>
          <w:lang w:val="es-PR"/>
        </w:rPr>
        <w:t xml:space="preserve">art. 11.8, Ley Núm. 161, </w:t>
      </w:r>
      <w:r>
        <w:rPr>
          <w:b/>
          <w:i/>
          <w:lang w:val="es-PR"/>
        </w:rPr>
        <w:t>supra</w:t>
      </w:r>
      <w:r>
        <w:rPr>
          <w:lang w:val="es-PR"/>
        </w:rPr>
        <w:t>.</w:t>
      </w:r>
    </w:p>
  </w:footnote>
  <w:footnote w:id="11">
    <w:p w:rsidR="007C0891" w:rsidRPr="006D3EAF" w:rsidRDefault="007C0891" w:rsidP="006D3EAF">
      <w:pPr>
        <w:pStyle w:val="FootnoteText"/>
        <w:jc w:val="both"/>
        <w:rPr>
          <w:b/>
          <w:lang w:val="es-PR"/>
        </w:rPr>
      </w:pPr>
      <w:r>
        <w:rPr>
          <w:rStyle w:val="FootnoteReference"/>
        </w:rPr>
        <w:footnoteRef/>
      </w:r>
      <w:r w:rsidRPr="006D3EAF">
        <w:rPr>
          <w:lang w:val="es-PR"/>
        </w:rPr>
        <w:t xml:space="preserve"> véase la </w:t>
      </w:r>
      <w:r w:rsidRPr="006D3EAF">
        <w:rPr>
          <w:i/>
          <w:iCs/>
          <w:lang w:val="es-PR"/>
        </w:rPr>
        <w:t>Notificación No Acogiendo Solicitud de Revisión Administrativa</w:t>
      </w:r>
      <w:r>
        <w:rPr>
          <w:iCs/>
          <w:lang w:val="es-PR"/>
        </w:rPr>
        <w:t xml:space="preserve">, de la DRA-OGPe en el recurso de epígrafe ante la misma, de 6 de julio de 2022, en </w:t>
      </w:r>
      <w:r>
        <w:rPr>
          <w:b/>
          <w:iCs/>
          <w:lang w:val="es-PR"/>
        </w:rPr>
        <w:t>Ap., pág.</w:t>
      </w:r>
      <w:r w:rsidR="004971D4">
        <w:rPr>
          <w:b/>
          <w:iCs/>
          <w:lang w:val="es-PR"/>
        </w:rPr>
        <w:t xml:space="preserve"> 48-53</w:t>
      </w:r>
      <w:r>
        <w:rPr>
          <w:iCs/>
          <w:lang w:val="es-PR"/>
        </w:rPr>
        <w:t xml:space="preserve">, y la cita específicamente a la </w:t>
      </w:r>
      <w:r>
        <w:rPr>
          <w:b/>
          <w:iCs/>
          <w:lang w:val="es-PR"/>
        </w:rPr>
        <w:t>pág.</w:t>
      </w:r>
      <w:r w:rsidR="004971D4">
        <w:rPr>
          <w:b/>
          <w:iCs/>
          <w:lang w:val="es-PR"/>
        </w:rPr>
        <w:t xml:space="preserve"> 51</w:t>
      </w:r>
      <w:r>
        <w:rPr>
          <w:b/>
          <w:iCs/>
          <w:lang w:val="es-PR"/>
        </w:rPr>
        <w:t>.</w:t>
      </w:r>
    </w:p>
  </w:footnote>
  <w:footnote w:id="12">
    <w:p w:rsidR="007C0891" w:rsidRPr="005D1379" w:rsidRDefault="007C0891">
      <w:pPr>
        <w:pStyle w:val="FootnoteText"/>
        <w:rPr>
          <w:b/>
          <w:lang w:val="es-PR"/>
        </w:rPr>
      </w:pPr>
      <w:r>
        <w:rPr>
          <w:rStyle w:val="FootnoteReference"/>
        </w:rPr>
        <w:footnoteRef/>
      </w:r>
      <w:r w:rsidRPr="00F6280C">
        <w:rPr>
          <w:lang w:val="es-PR"/>
        </w:rPr>
        <w:t xml:space="preserve"> </w:t>
      </w:r>
      <w:r>
        <w:rPr>
          <w:lang w:val="es-PR"/>
        </w:rPr>
        <w:t xml:space="preserve">En el término jurisdiccional, y en la forma establecida, para la revisión de la decisión de la DRA-OGPe, según el </w:t>
      </w:r>
      <w:r>
        <w:rPr>
          <w:b/>
          <w:lang w:val="es-PR"/>
        </w:rPr>
        <w:t xml:space="preserve">art. 13.1, Ley Núm. 161, </w:t>
      </w:r>
      <w:r>
        <w:rPr>
          <w:b/>
          <w:i/>
          <w:lang w:val="es-PR"/>
        </w:rPr>
        <w:t>supra</w:t>
      </w:r>
      <w:r>
        <w:rPr>
          <w:lang w:val="es-PR"/>
        </w:rPr>
        <w:t xml:space="preserve">, la </w:t>
      </w:r>
      <w:r>
        <w:rPr>
          <w:b/>
          <w:lang w:val="es-PR"/>
        </w:rPr>
        <w:t xml:space="preserve">sec. 4.1 y 4.2, Ley Núm. 38, </w:t>
      </w:r>
      <w:r>
        <w:rPr>
          <w:b/>
          <w:i/>
          <w:lang w:val="es-PR"/>
        </w:rPr>
        <w:t>supra</w:t>
      </w:r>
      <w:r>
        <w:rPr>
          <w:lang w:val="es-PR"/>
        </w:rPr>
        <w:t xml:space="preserve">, el </w:t>
      </w:r>
      <w:r>
        <w:rPr>
          <w:b/>
          <w:lang w:val="es-PR"/>
        </w:rPr>
        <w:t xml:space="preserve">art. 4.002 y 4.006(c), Ley Núm. 201, </w:t>
      </w:r>
      <w:r>
        <w:rPr>
          <w:b/>
          <w:i/>
          <w:lang w:val="es-PR"/>
        </w:rPr>
        <w:t>supra</w:t>
      </w:r>
      <w:r>
        <w:rPr>
          <w:lang w:val="es-PR"/>
        </w:rPr>
        <w:t xml:space="preserve">, y la </w:t>
      </w:r>
      <w:r>
        <w:rPr>
          <w:b/>
          <w:lang w:val="es-PR"/>
        </w:rPr>
        <w:t xml:space="preserve">Regla 57 y 59 del Reglamento del Tribunal de Apelaciones, </w:t>
      </w:r>
      <w:r w:rsidRPr="005D1379">
        <w:rPr>
          <w:b/>
          <w:i/>
          <w:lang w:val="es-ES_tradnl"/>
        </w:rPr>
        <w:t>4A L.P.R.A. Ap. XXII-B, R.</w:t>
      </w:r>
      <w:r>
        <w:rPr>
          <w:b/>
          <w:i/>
          <w:lang w:val="es-ES_tradnl"/>
        </w:rPr>
        <w:t xml:space="preserve"> 57 y 59.</w:t>
      </w:r>
    </w:p>
  </w:footnote>
  <w:footnote w:id="13">
    <w:p w:rsidR="007C0891" w:rsidRPr="006B257B" w:rsidRDefault="007C0891">
      <w:pPr>
        <w:pStyle w:val="FootnoteText"/>
        <w:rPr>
          <w:b/>
          <w:lang w:val="es-PR"/>
        </w:rPr>
      </w:pPr>
      <w:r>
        <w:rPr>
          <w:rStyle w:val="FootnoteReference"/>
        </w:rPr>
        <w:footnoteRef/>
      </w:r>
      <w:r w:rsidRPr="006B257B">
        <w:rPr>
          <w:lang w:val="es-PR"/>
        </w:rPr>
        <w:t xml:space="preserve"> </w:t>
      </w:r>
      <w:r>
        <w:rPr>
          <w:lang w:val="es-PR"/>
        </w:rPr>
        <w:t xml:space="preserve">Véase dicha conclusión en </w:t>
      </w:r>
      <w:r>
        <w:rPr>
          <w:b/>
          <w:lang w:val="es-PR"/>
        </w:rPr>
        <w:t>Ap., penúltimo párrafo, pág. 13.</w:t>
      </w:r>
    </w:p>
  </w:footnote>
  <w:footnote w:id="14">
    <w:p w:rsidR="007C0891" w:rsidRPr="001E5C20" w:rsidRDefault="007C0891">
      <w:pPr>
        <w:pStyle w:val="FootnoteText"/>
        <w:rPr>
          <w:lang w:val="es-PR"/>
        </w:rPr>
      </w:pPr>
      <w:r>
        <w:rPr>
          <w:rStyle w:val="FootnoteReference"/>
        </w:rPr>
        <w:footnoteRef/>
      </w:r>
      <w:r w:rsidRPr="001E5C20">
        <w:rPr>
          <w:lang w:val="es-PR"/>
        </w:rPr>
        <w:t xml:space="preserve"> En el término jurisdiccional, y en la forma establecida, para la revisión de la </w:t>
      </w:r>
      <w:r>
        <w:rPr>
          <w:i/>
          <w:lang w:val="es-PR"/>
        </w:rPr>
        <w:t xml:space="preserve">SENTENCIA </w:t>
      </w:r>
      <w:r>
        <w:rPr>
          <w:lang w:val="es-PR"/>
        </w:rPr>
        <w:t>del Hon. TA</w:t>
      </w:r>
      <w:r w:rsidRPr="001E5C20">
        <w:rPr>
          <w:lang w:val="es-PR"/>
        </w:rPr>
        <w:t xml:space="preserve">, según la </w:t>
      </w:r>
      <w:r w:rsidRPr="001E5C20">
        <w:rPr>
          <w:b/>
          <w:lang w:val="es-PR"/>
        </w:rPr>
        <w:t xml:space="preserve">sec. </w:t>
      </w:r>
      <w:r>
        <w:rPr>
          <w:b/>
          <w:lang w:val="es-PR"/>
        </w:rPr>
        <w:t>4.7</w:t>
      </w:r>
      <w:r w:rsidRPr="001E5C20">
        <w:rPr>
          <w:b/>
          <w:lang w:val="es-PR"/>
        </w:rPr>
        <w:t xml:space="preserve">, Ley Núm. 38, </w:t>
      </w:r>
      <w:r w:rsidRPr="001E5C20">
        <w:rPr>
          <w:b/>
          <w:i/>
          <w:lang w:val="es-PR"/>
        </w:rPr>
        <w:t>supra</w:t>
      </w:r>
      <w:r w:rsidRPr="001E5C20">
        <w:rPr>
          <w:lang w:val="es-PR"/>
        </w:rPr>
        <w:t>,</w:t>
      </w:r>
      <w:r>
        <w:rPr>
          <w:lang w:val="es-PR"/>
        </w:rPr>
        <w:t xml:space="preserve"> por conducto del </w:t>
      </w:r>
      <w:r>
        <w:rPr>
          <w:b/>
          <w:lang w:val="es-PR"/>
        </w:rPr>
        <w:t xml:space="preserve">art. 18.6, Ley Núm. 161, </w:t>
      </w:r>
      <w:r>
        <w:rPr>
          <w:b/>
          <w:i/>
          <w:lang w:val="es-PR"/>
        </w:rPr>
        <w:t>supra</w:t>
      </w:r>
      <w:r>
        <w:rPr>
          <w:lang w:val="es-PR"/>
        </w:rPr>
        <w:t>,</w:t>
      </w:r>
      <w:r w:rsidRPr="001E5C20">
        <w:rPr>
          <w:lang w:val="es-PR"/>
        </w:rPr>
        <w:t xml:space="preserve"> el </w:t>
      </w:r>
      <w:r w:rsidRPr="001E5C20">
        <w:rPr>
          <w:b/>
          <w:lang w:val="es-PR"/>
        </w:rPr>
        <w:t xml:space="preserve">art. </w:t>
      </w:r>
      <w:r>
        <w:rPr>
          <w:b/>
          <w:lang w:val="es-PR"/>
        </w:rPr>
        <w:t>2.001 y 3.002</w:t>
      </w:r>
      <w:r w:rsidRPr="001E5C20">
        <w:rPr>
          <w:b/>
          <w:lang w:val="es-PR"/>
        </w:rPr>
        <w:t>(</w:t>
      </w:r>
      <w:r>
        <w:rPr>
          <w:b/>
          <w:lang w:val="es-PR"/>
        </w:rPr>
        <w:t>d</w:t>
      </w:r>
      <w:r w:rsidRPr="001E5C20">
        <w:rPr>
          <w:b/>
          <w:lang w:val="es-PR"/>
        </w:rPr>
        <w:t xml:space="preserve">), Ley Núm. 201, </w:t>
      </w:r>
      <w:r w:rsidRPr="001E5C20">
        <w:rPr>
          <w:b/>
          <w:i/>
          <w:lang w:val="es-PR"/>
        </w:rPr>
        <w:t>supra</w:t>
      </w:r>
      <w:r w:rsidRPr="001E5C20">
        <w:rPr>
          <w:lang w:val="es-PR"/>
        </w:rPr>
        <w:t xml:space="preserve">, y la </w:t>
      </w:r>
      <w:r w:rsidRPr="001E5C20">
        <w:rPr>
          <w:b/>
          <w:lang w:val="es-PR"/>
        </w:rPr>
        <w:t xml:space="preserve">Regla </w:t>
      </w:r>
      <w:r>
        <w:rPr>
          <w:b/>
          <w:lang w:val="es-PR"/>
        </w:rPr>
        <w:t>20</w:t>
      </w:r>
      <w:r w:rsidRPr="001E5C20">
        <w:rPr>
          <w:b/>
          <w:lang w:val="es-PR"/>
        </w:rPr>
        <w:t xml:space="preserve"> del Reglamento del Tribunal </w:t>
      </w:r>
      <w:r>
        <w:rPr>
          <w:b/>
          <w:lang w:val="es-PR"/>
        </w:rPr>
        <w:t>Supremo</w:t>
      </w:r>
      <w:r w:rsidRPr="001E5C20">
        <w:rPr>
          <w:b/>
          <w:lang w:val="es-PR"/>
        </w:rPr>
        <w:t xml:space="preserve">, </w:t>
      </w:r>
      <w:r>
        <w:rPr>
          <w:b/>
          <w:i/>
          <w:lang w:val="es-ES_tradnl"/>
        </w:rPr>
        <w:t>supra</w:t>
      </w:r>
      <w:r w:rsidRPr="001E5C20">
        <w:rPr>
          <w:b/>
          <w:i/>
          <w:lang w:val="es-ES_tradnl"/>
        </w:rPr>
        <w:t>.</w:t>
      </w:r>
    </w:p>
  </w:footnote>
  <w:footnote w:id="15">
    <w:p w:rsidR="007C0891" w:rsidRPr="00D53C56" w:rsidRDefault="007C0891" w:rsidP="000E3D8E">
      <w:pPr>
        <w:pStyle w:val="FootnoteText"/>
        <w:rPr>
          <w:lang w:val="es-PR"/>
        </w:rPr>
      </w:pPr>
      <w:r>
        <w:rPr>
          <w:rStyle w:val="FootnoteReference"/>
        </w:rPr>
        <w:footnoteRef/>
      </w:r>
      <w:r w:rsidRPr="00F909F2">
        <w:rPr>
          <w:lang w:val="es-PR"/>
        </w:rPr>
        <w:t xml:space="preserve"> </w:t>
      </w:r>
      <w:r w:rsidRPr="00D53C56">
        <w:rPr>
          <w:u w:val="single"/>
          <w:lang w:val="es-PR"/>
        </w:rPr>
        <w:t>Mun. de Caguas v ATT</w:t>
      </w:r>
      <w:r>
        <w:rPr>
          <w:lang w:val="es-PR"/>
        </w:rPr>
        <w:t xml:space="preserve">, </w:t>
      </w:r>
      <w:r w:rsidRPr="00F909F2">
        <w:rPr>
          <w:lang w:val="es-PR"/>
        </w:rPr>
        <w:t>2001 T</w:t>
      </w:r>
      <w:r>
        <w:rPr>
          <w:lang w:val="es-PR"/>
        </w:rPr>
        <w:t>.</w:t>
      </w:r>
      <w:r w:rsidRPr="00F909F2">
        <w:rPr>
          <w:lang w:val="es-PR"/>
        </w:rPr>
        <w:t>S</w:t>
      </w:r>
      <w:r>
        <w:rPr>
          <w:lang w:val="es-PR"/>
        </w:rPr>
        <w:t>.</w:t>
      </w:r>
      <w:r w:rsidRPr="00F909F2">
        <w:rPr>
          <w:lang w:val="es-PR"/>
        </w:rPr>
        <w:t>P</w:t>
      </w:r>
      <w:r>
        <w:rPr>
          <w:lang w:val="es-PR"/>
        </w:rPr>
        <w:t>.</w:t>
      </w:r>
      <w:r w:rsidRPr="00F909F2">
        <w:rPr>
          <w:lang w:val="es-PR"/>
        </w:rPr>
        <w:t>R</w:t>
      </w:r>
      <w:r>
        <w:rPr>
          <w:lang w:val="es-PR"/>
        </w:rPr>
        <w:t>.</w:t>
      </w:r>
      <w:r w:rsidRPr="00F909F2">
        <w:rPr>
          <w:lang w:val="es-PR"/>
        </w:rPr>
        <w:t xml:space="preserve"> 93</w:t>
      </w:r>
      <w:r>
        <w:rPr>
          <w:lang w:val="es-PR"/>
        </w:rPr>
        <w:t xml:space="preserve">, pág. 9; </w:t>
      </w:r>
      <w:r w:rsidRPr="00D53C56">
        <w:rPr>
          <w:u w:val="single"/>
          <w:lang w:val="es-PR"/>
        </w:rPr>
        <w:t>Asoc. Residentes v Montebello</w:t>
      </w:r>
      <w:r>
        <w:rPr>
          <w:lang w:val="es-PR"/>
        </w:rPr>
        <w:t xml:space="preserve">, </w:t>
      </w:r>
      <w:r>
        <w:rPr>
          <w:i/>
          <w:lang w:val="es-PR"/>
        </w:rPr>
        <w:t>supra</w:t>
      </w:r>
      <w:r>
        <w:rPr>
          <w:lang w:val="es-PR"/>
        </w:rPr>
        <w:t>, pág. 421.</w:t>
      </w:r>
    </w:p>
  </w:footnote>
  <w:footnote w:id="16">
    <w:p w:rsidR="007C0891" w:rsidRPr="00D53C56" w:rsidRDefault="007C0891" w:rsidP="000E3D8E">
      <w:pPr>
        <w:pStyle w:val="FootnoteText"/>
        <w:rPr>
          <w:lang w:val="es-PR"/>
        </w:rPr>
      </w:pPr>
      <w:r>
        <w:rPr>
          <w:rStyle w:val="FootnoteReference"/>
        </w:rPr>
        <w:footnoteRef/>
      </w:r>
      <w:r w:rsidRPr="00D53C56">
        <w:rPr>
          <w:lang w:val="es-PR"/>
        </w:rPr>
        <w:t xml:space="preserve"> </w:t>
      </w:r>
      <w:r>
        <w:rPr>
          <w:u w:val="single"/>
          <w:lang w:val="es-PR"/>
        </w:rPr>
        <w:t>Mun. de Caguas v ATT</w:t>
      </w:r>
      <w:r>
        <w:rPr>
          <w:lang w:val="es-PR"/>
        </w:rPr>
        <w:t xml:space="preserve">, </w:t>
      </w:r>
      <w:r>
        <w:rPr>
          <w:i/>
          <w:lang w:val="es-PR"/>
        </w:rPr>
        <w:t>supra</w:t>
      </w:r>
      <w:r>
        <w:rPr>
          <w:lang w:val="es-PR"/>
        </w:rPr>
        <w:t>, pág. 10.</w:t>
      </w:r>
    </w:p>
  </w:footnote>
  <w:footnote w:id="17">
    <w:p w:rsidR="007C0891" w:rsidRPr="006D3EAF" w:rsidRDefault="007C0891" w:rsidP="00207793">
      <w:pPr>
        <w:pStyle w:val="FootnoteText"/>
        <w:jc w:val="both"/>
        <w:rPr>
          <w:b/>
          <w:lang w:val="es-PR"/>
        </w:rPr>
      </w:pPr>
      <w:r>
        <w:rPr>
          <w:rStyle w:val="FootnoteReference"/>
        </w:rPr>
        <w:footnoteRef/>
      </w:r>
      <w:r w:rsidRPr="006D3EAF">
        <w:rPr>
          <w:lang w:val="es-PR"/>
        </w:rPr>
        <w:t xml:space="preserve"> véase la </w:t>
      </w:r>
      <w:r w:rsidRPr="006D3EAF">
        <w:rPr>
          <w:i/>
          <w:iCs/>
          <w:lang w:val="es-PR"/>
        </w:rPr>
        <w:t>Notificación No Acogiendo Solicitud de Revisión Administrativa</w:t>
      </w:r>
      <w:r>
        <w:rPr>
          <w:iCs/>
          <w:lang w:val="es-PR"/>
        </w:rPr>
        <w:t xml:space="preserve">, de la DRA-OGPe en el recurso de epígrafe ante la misma, de 6 de julio de 2022, en </w:t>
      </w:r>
      <w:r>
        <w:rPr>
          <w:b/>
          <w:iCs/>
          <w:lang w:val="es-PR"/>
        </w:rPr>
        <w:t>Ap., pág.</w:t>
      </w:r>
      <w:r w:rsidR="004971D4">
        <w:rPr>
          <w:b/>
          <w:iCs/>
          <w:lang w:val="es-PR"/>
        </w:rPr>
        <w:t xml:space="preserve"> 48-53</w:t>
      </w:r>
      <w:r>
        <w:rPr>
          <w:iCs/>
          <w:lang w:val="es-PR"/>
        </w:rPr>
        <w:t xml:space="preserve">, y la cita específicamente a la </w:t>
      </w:r>
      <w:r>
        <w:rPr>
          <w:b/>
          <w:iCs/>
          <w:lang w:val="es-PR"/>
        </w:rPr>
        <w:t>pág.</w:t>
      </w:r>
      <w:r w:rsidR="004971D4">
        <w:rPr>
          <w:b/>
          <w:iCs/>
          <w:lang w:val="es-PR"/>
        </w:rPr>
        <w:t xml:space="preserve"> 51</w:t>
      </w:r>
      <w:r>
        <w:rPr>
          <w:b/>
          <w:iCs/>
          <w:lang w:val="es-PR"/>
        </w:rPr>
        <w:t>.</w:t>
      </w:r>
    </w:p>
  </w:footnote>
  <w:footnote w:id="18">
    <w:p w:rsidR="007C0891" w:rsidRPr="00A264CB" w:rsidRDefault="007C0891" w:rsidP="00A855AC">
      <w:pPr>
        <w:pStyle w:val="FootnoteText"/>
        <w:jc w:val="both"/>
        <w:rPr>
          <w:b/>
          <w:lang w:val="es-PR"/>
        </w:rPr>
      </w:pPr>
      <w:r>
        <w:rPr>
          <w:rStyle w:val="FootnoteReference"/>
        </w:rPr>
        <w:footnoteRef/>
      </w:r>
      <w:r w:rsidRPr="00A264CB">
        <w:rPr>
          <w:lang w:val="es-PR"/>
        </w:rPr>
        <w:t xml:space="preserve"> </w:t>
      </w:r>
      <w:r>
        <w:rPr>
          <w:lang w:val="es-PR"/>
        </w:rPr>
        <w:t xml:space="preserve">Véase el </w:t>
      </w:r>
      <w:r>
        <w:rPr>
          <w:i/>
          <w:lang w:val="es-PR"/>
        </w:rPr>
        <w:t>Memorial Explicativo</w:t>
      </w:r>
      <w:r>
        <w:rPr>
          <w:lang w:val="es-PR"/>
        </w:rPr>
        <w:t xml:space="preserve">, en su parte de </w:t>
      </w:r>
      <w:r w:rsidRPr="00A264CB">
        <w:rPr>
          <w:i/>
          <w:lang w:val="es-PR"/>
        </w:rPr>
        <w:t>Descripción de las Instalaciones Propuestas</w:t>
      </w:r>
      <w:r>
        <w:rPr>
          <w:lang w:val="es-PR"/>
        </w:rPr>
        <w:t xml:space="preserve"> en </w:t>
      </w:r>
      <w:r>
        <w:rPr>
          <w:b/>
          <w:lang w:val="es-PR"/>
        </w:rPr>
        <w:t>Ap., pág.</w:t>
      </w:r>
      <w:r w:rsidR="004971D4">
        <w:rPr>
          <w:b/>
          <w:lang w:val="es-PR"/>
        </w:rPr>
        <w:t xml:space="preserve"> 83</w:t>
      </w:r>
      <w:r>
        <w:rPr>
          <w:b/>
          <w:lang w:val="es-PR"/>
        </w:rPr>
        <w:t>.</w:t>
      </w:r>
    </w:p>
  </w:footnote>
  <w:footnote w:id="19">
    <w:p w:rsidR="007C0891" w:rsidRPr="00175EE0" w:rsidRDefault="007C0891">
      <w:pPr>
        <w:pStyle w:val="FootnoteText"/>
        <w:rPr>
          <w:lang w:val="es-PR"/>
        </w:rPr>
      </w:pPr>
      <w:r>
        <w:rPr>
          <w:rStyle w:val="FootnoteReference"/>
        </w:rPr>
        <w:footnoteRef/>
      </w:r>
      <w:r w:rsidRPr="00175EE0">
        <w:rPr>
          <w:lang w:val="es-PR"/>
        </w:rPr>
        <w:t xml:space="preserve"> Véase la descripción de Suelo Rústico Especialmente Protegido Agrícola (SREP-A) para la parcela donde se autorizó la construcción, según la base de datos de la Junta de Planificación (MIPR), en </w:t>
      </w:r>
      <w:r w:rsidRPr="00175EE0">
        <w:rPr>
          <w:b/>
          <w:lang w:val="es-PR"/>
        </w:rPr>
        <w:t>Ap., pág.</w:t>
      </w:r>
      <w:r w:rsidR="00A134FC">
        <w:rPr>
          <w:b/>
          <w:lang w:val="es-PR"/>
        </w:rPr>
        <w:t xml:space="preserve"> 160</w:t>
      </w:r>
      <w:r w:rsidRPr="00175EE0">
        <w:rPr>
          <w:b/>
          <w:lang w:val="es-PR"/>
        </w:rPr>
        <w:t>.</w:t>
      </w:r>
    </w:p>
  </w:footnote>
  <w:footnote w:id="20">
    <w:p w:rsidR="007C0891" w:rsidRPr="00A855AC" w:rsidRDefault="007C0891">
      <w:pPr>
        <w:pStyle w:val="FootnoteText"/>
        <w:rPr>
          <w:lang w:val="es-PR"/>
        </w:rPr>
      </w:pPr>
      <w:r>
        <w:rPr>
          <w:rStyle w:val="FootnoteReference"/>
        </w:rPr>
        <w:footnoteRef/>
      </w:r>
      <w:r w:rsidRPr="00A855AC">
        <w:rPr>
          <w:lang w:val="es-PR"/>
        </w:rPr>
        <w:t xml:space="preserve"> </w:t>
      </w:r>
      <w:r>
        <w:rPr>
          <w:lang w:val="es-PR"/>
        </w:rPr>
        <w:t xml:space="preserve">Véase las “nuevas calificaciones” para la clasificación SREP-A del </w:t>
      </w:r>
      <w:r>
        <w:rPr>
          <w:b/>
          <w:lang w:val="es-PR"/>
        </w:rPr>
        <w:t xml:space="preserve">Cap. 3, Tabla #4, </w:t>
      </w:r>
      <w:r w:rsidRPr="004C13DA">
        <w:rPr>
          <w:b/>
          <w:lang w:val="es-PR"/>
        </w:rPr>
        <w:t xml:space="preserve">Memorial del Plan de Uso de Terrenos, J.P., </w:t>
      </w:r>
      <w:r w:rsidRPr="004C13DA">
        <w:rPr>
          <w:b/>
          <w:bCs/>
          <w:lang w:val="es-PR"/>
        </w:rPr>
        <w:t>Reglamento Núm. 8670, del 4 de diciembre de 2015</w:t>
      </w:r>
      <w:r>
        <w:rPr>
          <w:bCs/>
          <w:lang w:val="es-PR"/>
        </w:rPr>
        <w:t xml:space="preserve"> (en adelante </w:t>
      </w:r>
      <w:r>
        <w:rPr>
          <w:b/>
          <w:bCs/>
          <w:lang w:val="es-PR"/>
        </w:rPr>
        <w:t>Memorial PUT</w:t>
      </w:r>
      <w:r>
        <w:rPr>
          <w:bCs/>
          <w:lang w:val="es-PR"/>
        </w:rPr>
        <w:t>).</w:t>
      </w:r>
    </w:p>
  </w:footnote>
  <w:footnote w:id="21">
    <w:p w:rsidR="007C0891" w:rsidRPr="00A855AC" w:rsidRDefault="007C0891" w:rsidP="00A855AC">
      <w:pPr>
        <w:pStyle w:val="FootnoteText"/>
        <w:jc w:val="both"/>
        <w:rPr>
          <w:lang w:val="es-PR"/>
        </w:rPr>
      </w:pPr>
      <w:r>
        <w:rPr>
          <w:rStyle w:val="FootnoteReference"/>
        </w:rPr>
        <w:footnoteRef/>
      </w:r>
      <w:r w:rsidRPr="00E01DE9">
        <w:rPr>
          <w:lang w:val="es-PR"/>
        </w:rPr>
        <w:t xml:space="preserve"> </w:t>
      </w:r>
      <w:r>
        <w:rPr>
          <w:lang w:val="es-PR"/>
        </w:rPr>
        <w:t xml:space="preserve">Así, textualmente como se escribe toda la relación de hechos, lo informó la Sra. Sara T. Cabiya, quien es vecina del Bo. Frontón de Ciales pero no es RECURRENTE, en su solicitud de intervención en el proceso de evaluación del permiso, que fue denegada, </w:t>
      </w:r>
      <w:r w:rsidRPr="00A855AC">
        <w:rPr>
          <w:bCs/>
          <w:lang w:val="es-PR"/>
        </w:rPr>
        <w:t xml:space="preserve">véase la </w:t>
      </w:r>
      <w:r w:rsidRPr="00A855AC">
        <w:rPr>
          <w:b/>
          <w:bCs/>
          <w:i/>
          <w:lang w:val="es-PR"/>
        </w:rPr>
        <w:t>RESOLUCIÓN SOBRE SOLICITUD DE INTERVENCIÓN</w:t>
      </w:r>
      <w:r w:rsidRPr="00A855AC">
        <w:rPr>
          <w:b/>
          <w:bCs/>
          <w:lang w:val="es-PR"/>
        </w:rPr>
        <w:t xml:space="preserve">, 2022-SIN-007481, </w:t>
      </w:r>
      <w:r w:rsidRPr="00A855AC">
        <w:rPr>
          <w:bCs/>
          <w:lang w:val="es-PR"/>
        </w:rPr>
        <w:t xml:space="preserve">en </w:t>
      </w:r>
      <w:r w:rsidRPr="00A855AC">
        <w:rPr>
          <w:b/>
          <w:bCs/>
          <w:lang w:val="es-PR"/>
        </w:rPr>
        <w:t>Ap., pág.</w:t>
      </w:r>
      <w:r w:rsidR="00A134FC">
        <w:rPr>
          <w:b/>
          <w:bCs/>
          <w:lang w:val="es-PR"/>
        </w:rPr>
        <w:t xml:space="preserve"> 87-90</w:t>
      </w:r>
      <w:r w:rsidRPr="00A855AC">
        <w:rPr>
          <w:bCs/>
          <w:lang w:val="es-PR"/>
        </w:rPr>
        <w:t xml:space="preserve">, </w:t>
      </w:r>
      <w:r>
        <w:rPr>
          <w:bCs/>
          <w:lang w:val="es-PR"/>
        </w:rPr>
        <w:t xml:space="preserve">y la cita específicamente </w:t>
      </w:r>
      <w:r w:rsidRPr="00A855AC">
        <w:rPr>
          <w:bCs/>
          <w:lang w:val="es-PR"/>
        </w:rPr>
        <w:t xml:space="preserve">a la </w:t>
      </w:r>
      <w:r w:rsidRPr="00A855AC">
        <w:rPr>
          <w:b/>
          <w:bCs/>
          <w:lang w:val="es-PR"/>
        </w:rPr>
        <w:t>pág.</w:t>
      </w:r>
      <w:r w:rsidR="00A134FC">
        <w:rPr>
          <w:b/>
          <w:bCs/>
          <w:lang w:val="es-PR"/>
        </w:rPr>
        <w:t xml:space="preserve"> 87</w:t>
      </w:r>
      <w:r>
        <w:rPr>
          <w:b/>
          <w:bCs/>
          <w:lang w:val="es-PR"/>
        </w:rPr>
        <w:t xml:space="preserve">. </w:t>
      </w:r>
    </w:p>
  </w:footnote>
  <w:footnote w:id="22">
    <w:p w:rsidR="007C0891" w:rsidRPr="000731EE" w:rsidRDefault="007C0891" w:rsidP="00175EE0">
      <w:pPr>
        <w:pStyle w:val="FootnoteText"/>
        <w:jc w:val="both"/>
        <w:rPr>
          <w:lang w:val="es-PR"/>
        </w:rPr>
      </w:pPr>
      <w:r>
        <w:rPr>
          <w:rStyle w:val="FootnoteReference"/>
        </w:rPr>
        <w:footnoteRef/>
      </w:r>
      <w:r w:rsidRPr="000731EE">
        <w:rPr>
          <w:lang w:val="es-PR"/>
        </w:rPr>
        <w:t xml:space="preserve"> </w:t>
      </w:r>
      <w:r>
        <w:rPr>
          <w:lang w:val="es-PR"/>
        </w:rPr>
        <w:t>Véase en</w:t>
      </w:r>
      <w:r w:rsidRPr="000731EE">
        <w:rPr>
          <w:lang w:val="es-PR"/>
        </w:rPr>
        <w:t xml:space="preserve"> el extracto de la publicación del United States Geological Survey (USGS) </w:t>
      </w:r>
      <w:r w:rsidRPr="000731EE">
        <w:rPr>
          <w:b/>
          <w:lang w:val="es-PR"/>
        </w:rPr>
        <w:t xml:space="preserve">“Map depicting susceptibility to landslides triggered by intense rainfall, Puerto Rico”, USGS, Series Number 2020-1022, de 16 de marzo de 2020, </w:t>
      </w:r>
      <w:r>
        <w:rPr>
          <w:lang w:val="es-PR"/>
        </w:rPr>
        <w:t xml:space="preserve">en </w:t>
      </w:r>
      <w:r>
        <w:rPr>
          <w:b/>
          <w:lang w:val="es-PR"/>
        </w:rPr>
        <w:t>Ap., pág.</w:t>
      </w:r>
      <w:r w:rsidR="00A134FC">
        <w:rPr>
          <w:b/>
          <w:lang w:val="es-PR"/>
        </w:rPr>
        <w:t xml:space="preserve"> 120</w:t>
      </w:r>
      <w:r w:rsidRPr="000731EE">
        <w:rPr>
          <w:lang w:val="es-PR"/>
        </w:rPr>
        <w:t>.</w:t>
      </w:r>
      <w:r>
        <w:rPr>
          <w:lang w:val="es-PR"/>
        </w:rPr>
        <w:t xml:space="preserve"> </w:t>
      </w:r>
    </w:p>
  </w:footnote>
  <w:footnote w:id="23">
    <w:p w:rsidR="007C0891" w:rsidRPr="00E20F90" w:rsidRDefault="007C0891" w:rsidP="00CC61D8">
      <w:pPr>
        <w:pStyle w:val="FootnoteText"/>
        <w:jc w:val="both"/>
        <w:rPr>
          <w:b/>
          <w:lang w:val="es-PR"/>
        </w:rPr>
      </w:pPr>
      <w:r>
        <w:rPr>
          <w:rStyle w:val="FootnoteReference"/>
        </w:rPr>
        <w:footnoteRef/>
      </w:r>
      <w:r w:rsidRPr="00E20F90">
        <w:rPr>
          <w:lang w:val="es-PR"/>
        </w:rPr>
        <w:t xml:space="preserve"> </w:t>
      </w:r>
      <w:r w:rsidRPr="00E20F90">
        <w:rPr>
          <w:bCs/>
          <w:iCs/>
          <w:lang w:val="es-PR"/>
        </w:rPr>
        <w:t xml:space="preserve">Véase el </w:t>
      </w:r>
      <w:r w:rsidRPr="00E20F90">
        <w:rPr>
          <w:bCs/>
          <w:i/>
          <w:iCs/>
          <w:lang w:val="es-PR"/>
        </w:rPr>
        <w:t>overall length</w:t>
      </w:r>
      <w:r w:rsidRPr="00E20F90">
        <w:rPr>
          <w:bCs/>
          <w:iCs/>
          <w:lang w:val="es-PR"/>
        </w:rPr>
        <w:t xml:space="preserve"> de la Tabla </w:t>
      </w:r>
      <w:r>
        <w:rPr>
          <w:bCs/>
          <w:i/>
          <w:iCs/>
          <w:lang w:val="es-PR"/>
        </w:rPr>
        <w:t>Foundation Design</w:t>
      </w:r>
      <w:r w:rsidRPr="00E20F90">
        <w:rPr>
          <w:bCs/>
          <w:iCs/>
          <w:lang w:val="es-PR"/>
        </w:rPr>
        <w:t xml:space="preserve"> el plano </w:t>
      </w:r>
      <w:r w:rsidRPr="00E20F90">
        <w:rPr>
          <w:bCs/>
          <w:i/>
          <w:iCs/>
          <w:lang w:val="es-PR"/>
        </w:rPr>
        <w:t>Foundation details</w:t>
      </w:r>
      <w:r w:rsidRPr="00E20F90">
        <w:rPr>
          <w:bCs/>
          <w:iCs/>
          <w:lang w:val="es-PR"/>
        </w:rPr>
        <w:t>, F-1, por Tower Engineering Professionals, certificado por el Ing. Wi</w:t>
      </w:r>
      <w:r>
        <w:rPr>
          <w:bCs/>
          <w:iCs/>
          <w:lang w:val="es-PR"/>
        </w:rPr>
        <w:t>lliam H. Martin</w:t>
      </w:r>
      <w:r w:rsidRPr="00E20F90">
        <w:rPr>
          <w:bCs/>
          <w:iCs/>
          <w:lang w:val="es-PR"/>
        </w:rPr>
        <w:t>, de 13 de diciembre de 2021</w:t>
      </w:r>
      <w:r>
        <w:rPr>
          <w:bCs/>
          <w:iCs/>
          <w:lang w:val="es-PR"/>
        </w:rPr>
        <w:t xml:space="preserve">, en </w:t>
      </w:r>
      <w:r>
        <w:rPr>
          <w:b/>
          <w:bCs/>
          <w:iCs/>
          <w:lang w:val="es-PR"/>
        </w:rPr>
        <w:t>Ap., pág.</w:t>
      </w:r>
      <w:r w:rsidR="00A134FC">
        <w:rPr>
          <w:b/>
          <w:bCs/>
          <w:iCs/>
          <w:lang w:val="es-PR"/>
        </w:rPr>
        <w:t xml:space="preserve"> 78</w:t>
      </w:r>
      <w:r>
        <w:rPr>
          <w:b/>
          <w:bCs/>
          <w:iCs/>
          <w:lang w:val="es-PR"/>
        </w:rPr>
        <w:t>.</w:t>
      </w:r>
    </w:p>
  </w:footnote>
  <w:footnote w:id="24">
    <w:p w:rsidR="007C0891" w:rsidRPr="00231C84" w:rsidRDefault="007C0891" w:rsidP="00CC61D8">
      <w:pPr>
        <w:pStyle w:val="FootnoteText"/>
        <w:jc w:val="both"/>
        <w:rPr>
          <w:b/>
          <w:lang w:val="es-PR"/>
        </w:rPr>
      </w:pPr>
      <w:r>
        <w:rPr>
          <w:rStyle w:val="FootnoteReference"/>
        </w:rPr>
        <w:footnoteRef/>
      </w:r>
      <w:r w:rsidRPr="00231C84">
        <w:rPr>
          <w:lang w:val="es-PR"/>
        </w:rPr>
        <w:t xml:space="preserve"> </w:t>
      </w:r>
      <w:r>
        <w:rPr>
          <w:bCs/>
          <w:iCs/>
          <w:lang w:val="es-PR"/>
        </w:rPr>
        <w:t>V</w:t>
      </w:r>
      <w:r w:rsidRPr="00231C84">
        <w:rPr>
          <w:bCs/>
          <w:iCs/>
          <w:lang w:val="es-PR"/>
        </w:rPr>
        <w:t>éase</w:t>
      </w:r>
      <w:r>
        <w:rPr>
          <w:bCs/>
          <w:iCs/>
          <w:lang w:val="es-PR"/>
        </w:rPr>
        <w:t xml:space="preserve"> las perforaciones para postes nuevos descritos en</w:t>
      </w:r>
      <w:r w:rsidRPr="00231C84">
        <w:rPr>
          <w:bCs/>
          <w:iCs/>
          <w:lang w:val="es-PR"/>
        </w:rPr>
        <w:t xml:space="preserve"> los Planos </w:t>
      </w:r>
      <w:r w:rsidRPr="00231C84">
        <w:rPr>
          <w:bCs/>
          <w:i/>
          <w:iCs/>
          <w:lang w:val="es-PR"/>
        </w:rPr>
        <w:t>Electrical Site Plan &amp; Details</w:t>
      </w:r>
      <w:r w:rsidRPr="00231C84">
        <w:rPr>
          <w:bCs/>
          <w:iCs/>
          <w:lang w:val="es-PR"/>
        </w:rPr>
        <w:t xml:space="preserve">, ES-02, y el Plano </w:t>
      </w:r>
      <w:r w:rsidRPr="00231C84">
        <w:rPr>
          <w:bCs/>
          <w:i/>
          <w:iCs/>
          <w:lang w:val="es-PR"/>
        </w:rPr>
        <w:t>Riser/One Line Diagram &amp; Details</w:t>
      </w:r>
      <w:r w:rsidRPr="00231C84">
        <w:rPr>
          <w:bCs/>
          <w:iCs/>
          <w:lang w:val="es-PR"/>
        </w:rPr>
        <w:t>, ES-03, por PAC General, certificados por el Ing. Pedro Cid Fernández, Lic. Núm. 16</w:t>
      </w:r>
      <w:r>
        <w:rPr>
          <w:bCs/>
          <w:iCs/>
          <w:lang w:val="es-PR"/>
        </w:rPr>
        <w:t xml:space="preserve">521, de 19 de mayo de 2021, en </w:t>
      </w:r>
      <w:r>
        <w:rPr>
          <w:b/>
          <w:bCs/>
          <w:iCs/>
          <w:lang w:val="es-PR"/>
        </w:rPr>
        <w:t>Ap., pág.</w:t>
      </w:r>
      <w:r w:rsidR="00A134FC">
        <w:rPr>
          <w:b/>
          <w:bCs/>
          <w:iCs/>
          <w:lang w:val="es-PR"/>
        </w:rPr>
        <w:t xml:space="preserve"> 118-119</w:t>
      </w:r>
      <w:r>
        <w:rPr>
          <w:b/>
          <w:bCs/>
          <w:iCs/>
          <w:lang w:val="es-PR"/>
        </w:rPr>
        <w:t>, respectivamente.</w:t>
      </w:r>
    </w:p>
  </w:footnote>
  <w:footnote w:id="25">
    <w:p w:rsidR="007C0891" w:rsidRPr="009C1816" w:rsidRDefault="007C0891" w:rsidP="00CC61D8">
      <w:pPr>
        <w:pStyle w:val="FootnoteText"/>
        <w:jc w:val="both"/>
        <w:rPr>
          <w:rFonts w:ascii="Segoe UI Symbol" w:hAnsi="Segoe UI Symbol"/>
          <w:b/>
          <w:lang w:val="es-PR" w:eastAsia="ja-JP"/>
        </w:rPr>
      </w:pPr>
      <w:r>
        <w:rPr>
          <w:rStyle w:val="FootnoteReference"/>
        </w:rPr>
        <w:footnoteRef/>
      </w:r>
      <w:r w:rsidRPr="009C1816">
        <w:rPr>
          <w:lang w:val="es-PR"/>
        </w:rPr>
        <w:t xml:space="preserve"> </w:t>
      </w:r>
      <w:r>
        <w:rPr>
          <w:lang w:val="es-PR"/>
        </w:rPr>
        <w:t xml:space="preserve">Véase la Publicación del USGS, en colaboración con el </w:t>
      </w:r>
      <w:r w:rsidRPr="009C1816">
        <w:rPr>
          <w:i/>
          <w:lang w:val="es-PR"/>
        </w:rPr>
        <w:t>Natural Hazard Center</w:t>
      </w:r>
      <w:r>
        <w:rPr>
          <w:lang w:val="es-PR"/>
        </w:rPr>
        <w:t xml:space="preserve"> del UCB y la UPR-RUM, </w:t>
      </w:r>
      <w:r>
        <w:rPr>
          <w:b/>
          <w:lang w:val="es-PR"/>
        </w:rPr>
        <w:t xml:space="preserve">Guía sobre delizamientos de tierra para residentes de Puerto Rico, USGS, </w:t>
      </w:r>
      <w:r w:rsidRPr="009C1816">
        <w:rPr>
          <w:b/>
          <w:lang w:val="es-PR"/>
        </w:rPr>
        <w:t>Series Number 2020-1022</w:t>
      </w:r>
      <w:r>
        <w:rPr>
          <w:b/>
          <w:lang w:val="es-PR"/>
        </w:rPr>
        <w:t>, de 28 de abril de 2020</w:t>
      </w:r>
      <w:r>
        <w:rPr>
          <w:lang w:val="es-PR"/>
        </w:rPr>
        <w:t xml:space="preserve">, adjunta en </w:t>
      </w:r>
      <w:r>
        <w:rPr>
          <w:b/>
          <w:lang w:val="es-PR"/>
        </w:rPr>
        <w:t>Ap., pág.</w:t>
      </w:r>
      <w:r w:rsidR="00A134FC">
        <w:rPr>
          <w:b/>
          <w:lang w:val="es-PR"/>
        </w:rPr>
        <w:t xml:space="preserve"> 123-138</w:t>
      </w:r>
      <w:r>
        <w:rPr>
          <w:lang w:val="es-PR"/>
        </w:rPr>
        <w:t xml:space="preserve">, específicamente a la </w:t>
      </w:r>
      <w:r>
        <w:rPr>
          <w:b/>
          <w:lang w:val="es-PR"/>
        </w:rPr>
        <w:t>pág.</w:t>
      </w:r>
      <w:r w:rsidR="00A134FC">
        <w:rPr>
          <w:b/>
          <w:lang w:val="es-PR"/>
        </w:rPr>
        <w:t xml:space="preserve"> 129</w:t>
      </w:r>
      <w:r>
        <w:rPr>
          <w:b/>
          <w:lang w:val="es-PR"/>
        </w:rPr>
        <w:t>.</w:t>
      </w:r>
    </w:p>
  </w:footnote>
  <w:footnote w:id="26">
    <w:p w:rsidR="007C0891" w:rsidRPr="006D1527" w:rsidRDefault="007C0891" w:rsidP="00CC61D8">
      <w:pPr>
        <w:pStyle w:val="FootnoteText"/>
        <w:jc w:val="both"/>
      </w:pPr>
      <w:r>
        <w:rPr>
          <w:rStyle w:val="FootnoteReference"/>
        </w:rPr>
        <w:footnoteRef/>
      </w:r>
      <w:r>
        <w:t xml:space="preserve"> El original lee: “Landslides are a serious geologic hazard common to almost every State in the United States.”, </w:t>
      </w:r>
      <w:r>
        <w:rPr>
          <w:b/>
          <w:i/>
        </w:rPr>
        <w:t>Why Study Landslides?</w:t>
      </w:r>
      <w:r>
        <w:rPr>
          <w:b/>
        </w:rPr>
        <w:t xml:space="preserve">, Landslides 101, National Landslides Hazards Program, USGS, </w:t>
      </w:r>
      <w:r>
        <w:t xml:space="preserve">disponible en: </w:t>
      </w:r>
      <w:hyperlink r:id="rId1" w:history="1">
        <w:r w:rsidRPr="00B556ED">
          <w:rPr>
            <w:rStyle w:val="Hyperlink"/>
          </w:rPr>
          <w:t>https://www.usgs.gov/programs/landslide-hazards/landslides-101</w:t>
        </w:r>
      </w:hyperlink>
      <w:r>
        <w:t xml:space="preserve">. </w:t>
      </w:r>
    </w:p>
  </w:footnote>
  <w:footnote w:id="27">
    <w:p w:rsidR="007C0891" w:rsidRPr="00792163" w:rsidRDefault="007C0891" w:rsidP="00CC61D8">
      <w:pPr>
        <w:pStyle w:val="FootnoteText"/>
        <w:jc w:val="both"/>
        <w:rPr>
          <w:b/>
          <w:i/>
        </w:rPr>
      </w:pPr>
      <w:r>
        <w:rPr>
          <w:rStyle w:val="FootnoteReference"/>
        </w:rPr>
        <w:footnoteRef/>
      </w:r>
      <w:r>
        <w:t xml:space="preserve"> El original lee: “It is estimated that in the United States, they cause in excess of $1 billion in damages and from about 25 to 50 deaths each year.”, Véase en </w:t>
      </w:r>
      <w:r>
        <w:rPr>
          <w:b/>
          <w:i/>
        </w:rPr>
        <w:t>Íd.</w:t>
      </w:r>
    </w:p>
  </w:footnote>
  <w:footnote w:id="28">
    <w:p w:rsidR="007C0891" w:rsidRPr="009360FD" w:rsidRDefault="007C0891" w:rsidP="00CC61D8">
      <w:pPr>
        <w:pStyle w:val="FootnoteText"/>
        <w:jc w:val="both"/>
        <w:rPr>
          <w:lang w:val="es-PR"/>
        </w:rPr>
      </w:pPr>
      <w:r>
        <w:rPr>
          <w:rStyle w:val="FootnoteReference"/>
        </w:rPr>
        <w:footnoteRef/>
      </w:r>
      <w:r w:rsidRPr="009360FD">
        <w:rPr>
          <w:lang w:val="es-PR"/>
        </w:rPr>
        <w:t xml:space="preserve"> Véase el reportaje de </w:t>
      </w:r>
      <w:r w:rsidRPr="00C67378">
        <w:rPr>
          <w:b/>
          <w:smallCaps/>
          <w:lang w:val="es-PR"/>
        </w:rPr>
        <w:t>Ortiz, Jeremy</w:t>
      </w:r>
      <w:r w:rsidRPr="00C67378">
        <w:rPr>
          <w:b/>
          <w:lang w:val="es-PR"/>
        </w:rPr>
        <w:t xml:space="preserve">, “Fuertes lluvias provocan deslizamientos en Ciales”, </w:t>
      </w:r>
      <w:r w:rsidRPr="00C67378">
        <w:rPr>
          <w:b/>
          <w:smallCaps/>
          <w:u w:val="single"/>
          <w:lang w:val="es-PR"/>
        </w:rPr>
        <w:t>Univisión Puerto Rico</w:t>
      </w:r>
      <w:r w:rsidRPr="00C67378">
        <w:rPr>
          <w:b/>
          <w:lang w:val="es-PR"/>
        </w:rPr>
        <w:t>, de 29 de abril de 2019</w:t>
      </w:r>
      <w:r>
        <w:rPr>
          <w:lang w:val="es-PR"/>
        </w:rPr>
        <w:t xml:space="preserve">, donde se reseña un gran deslizamiento en su comunidad y se reseñan deslizamientos anteriores en la misma carretera y barrio del Municipio de Ciales, después del Huracán María en 2017. Disponible en: </w:t>
      </w:r>
      <w:hyperlink r:id="rId2" w:history="1">
        <w:r w:rsidRPr="00E42DF0">
          <w:rPr>
            <w:rStyle w:val="Hyperlink"/>
            <w:lang w:val="es-PR"/>
          </w:rPr>
          <w:t>https://univision.com/local/puerto-rico-wlii/fuertes-lluvias-provocan-deslizamientos-en-ciales-video</w:t>
        </w:r>
      </w:hyperlink>
      <w:r>
        <w:rPr>
          <w:lang w:val="es-PR"/>
        </w:rPr>
        <w:t xml:space="preserve">. </w:t>
      </w:r>
    </w:p>
  </w:footnote>
  <w:footnote w:id="29">
    <w:p w:rsidR="007C0891" w:rsidRPr="00175EE0" w:rsidRDefault="007C0891">
      <w:pPr>
        <w:pStyle w:val="FootnoteText"/>
        <w:rPr>
          <w:lang w:val="es-PR"/>
        </w:rPr>
      </w:pPr>
      <w:r>
        <w:rPr>
          <w:rStyle w:val="FootnoteReference"/>
        </w:rPr>
        <w:footnoteRef/>
      </w:r>
      <w:r w:rsidRPr="00175EE0">
        <w:rPr>
          <w:lang w:val="es-PR"/>
        </w:rPr>
        <w:t xml:space="preserve"> </w:t>
      </w:r>
      <w:r>
        <w:rPr>
          <w:lang w:val="es-PR"/>
        </w:rPr>
        <w:t xml:space="preserve">Véase </w:t>
      </w:r>
      <w:r>
        <w:rPr>
          <w:b/>
          <w:lang w:val="es-PR"/>
        </w:rPr>
        <w:t xml:space="preserve">última oración, 1er párrafo, art. 8.4, Ley Núm. 161, </w:t>
      </w:r>
      <w:r>
        <w:rPr>
          <w:b/>
          <w:i/>
          <w:lang w:val="es-PR"/>
        </w:rPr>
        <w:t>supra</w:t>
      </w:r>
      <w:r>
        <w:rPr>
          <w:lang w:val="es-PR"/>
        </w:rPr>
        <w:t>.</w:t>
      </w:r>
    </w:p>
  </w:footnote>
  <w:footnote w:id="30">
    <w:p w:rsidR="007C0891" w:rsidRPr="00071561" w:rsidRDefault="007C0891" w:rsidP="00A855AC">
      <w:pPr>
        <w:pStyle w:val="FootnoteText"/>
        <w:jc w:val="both"/>
        <w:rPr>
          <w:lang w:val="es-PR"/>
        </w:rPr>
      </w:pPr>
      <w:r>
        <w:rPr>
          <w:rStyle w:val="FootnoteReference"/>
        </w:rPr>
        <w:footnoteRef/>
      </w:r>
      <w:r w:rsidRPr="00071561">
        <w:rPr>
          <w:lang w:val="es-PR"/>
        </w:rPr>
        <w:t xml:space="preserve"> </w:t>
      </w:r>
      <w:r>
        <w:rPr>
          <w:lang w:val="es-PR"/>
        </w:rPr>
        <w:t xml:space="preserve">Dicha </w:t>
      </w:r>
      <w:r>
        <w:rPr>
          <w:i/>
          <w:lang w:val="es-PR"/>
        </w:rPr>
        <w:t>DETERMINACIÓN DE CUMPLIMIENTO AMBIENTAL,</w:t>
      </w:r>
      <w:r>
        <w:rPr>
          <w:lang w:val="es-PR"/>
        </w:rPr>
        <w:t xml:space="preserve"> NÚM. 2021-383002-DEA-006599, no se adjuntó previamente en este proceso pero </w:t>
      </w:r>
      <w:r w:rsidRPr="00477E9A">
        <w:rPr>
          <w:u w:val="single"/>
          <w:lang w:val="es-PR"/>
        </w:rPr>
        <w:t>forma parte del expediente administrativo ante la agencia</w:t>
      </w:r>
      <w:r>
        <w:rPr>
          <w:lang w:val="es-PR"/>
        </w:rPr>
        <w:t xml:space="preserve">. La </w:t>
      </w:r>
      <w:r>
        <w:rPr>
          <w:i/>
          <w:lang w:val="es-PR"/>
        </w:rPr>
        <w:t>Fecha de expedición</w:t>
      </w:r>
      <w:r>
        <w:rPr>
          <w:lang w:val="es-PR"/>
        </w:rPr>
        <w:t xml:space="preserve"> en su pág. 1.</w:t>
      </w:r>
    </w:p>
  </w:footnote>
  <w:footnote w:id="31">
    <w:p w:rsidR="007C0891" w:rsidRPr="007700A5" w:rsidRDefault="007C0891" w:rsidP="00A855AC">
      <w:pPr>
        <w:pStyle w:val="FootnoteText"/>
        <w:jc w:val="both"/>
        <w:rPr>
          <w:b/>
          <w:lang w:val="es-PR"/>
        </w:rPr>
      </w:pPr>
      <w:r>
        <w:rPr>
          <w:rStyle w:val="FootnoteReference"/>
        </w:rPr>
        <w:footnoteRef/>
      </w:r>
      <w:r w:rsidRPr="007700A5">
        <w:rPr>
          <w:lang w:val="es-PR"/>
        </w:rPr>
        <w:t xml:space="preserve"> Véase</w:t>
      </w:r>
      <w:r>
        <w:rPr>
          <w:lang w:val="es-PR"/>
        </w:rPr>
        <w:t xml:space="preserve"> el documento</w:t>
      </w:r>
      <w:r w:rsidRPr="007700A5">
        <w:rPr>
          <w:lang w:val="es-PR"/>
        </w:rPr>
        <w:t xml:space="preserve"> </w:t>
      </w:r>
      <w:r w:rsidRPr="00854547">
        <w:rPr>
          <w:bCs/>
          <w:i/>
          <w:lang w:val="es-PR"/>
        </w:rPr>
        <w:t>Perfil de Proyecto y Petición de Servicios</w:t>
      </w:r>
      <w:r w:rsidRPr="00854547">
        <w:rPr>
          <w:lang w:val="es-PR"/>
        </w:rPr>
        <w:t xml:space="preserve"> </w:t>
      </w:r>
      <w:r w:rsidRPr="007700A5">
        <w:rPr>
          <w:lang w:val="es-PR"/>
        </w:rPr>
        <w:t xml:space="preserve">en </w:t>
      </w:r>
      <w:r w:rsidRPr="007700A5">
        <w:rPr>
          <w:b/>
          <w:lang w:val="es-PR"/>
        </w:rPr>
        <w:t>Ap.,</w:t>
      </w:r>
      <w:r>
        <w:rPr>
          <w:b/>
          <w:lang w:val="es-PR"/>
        </w:rPr>
        <w:t xml:space="preserve"> pág.</w:t>
      </w:r>
      <w:r w:rsidR="00A134FC">
        <w:rPr>
          <w:b/>
          <w:lang w:val="es-PR"/>
        </w:rPr>
        <w:t xml:space="preserve"> 54-55</w:t>
      </w:r>
      <w:r>
        <w:rPr>
          <w:b/>
          <w:lang w:val="es-PR"/>
        </w:rPr>
        <w:t>.</w:t>
      </w:r>
    </w:p>
  </w:footnote>
  <w:footnote w:id="32">
    <w:p w:rsidR="007C0891" w:rsidRPr="00AE2E57" w:rsidRDefault="007C0891" w:rsidP="007E509F">
      <w:pPr>
        <w:pStyle w:val="FootnoteText"/>
        <w:jc w:val="both"/>
        <w:rPr>
          <w:lang w:val="es-PR"/>
        </w:rPr>
      </w:pPr>
      <w:r>
        <w:rPr>
          <w:rStyle w:val="FootnoteReference"/>
        </w:rPr>
        <w:footnoteRef/>
      </w:r>
      <w:r w:rsidRPr="00AE2E57">
        <w:rPr>
          <w:lang w:val="es-PR"/>
        </w:rPr>
        <w:t xml:space="preserve">Véase el archivo </w:t>
      </w:r>
      <w:r w:rsidRPr="006F3166">
        <w:rPr>
          <w:bCs/>
          <w:i/>
          <w:lang w:val="es-PR"/>
        </w:rPr>
        <w:t>Memorial de Notificación de Colindantes</w:t>
      </w:r>
      <w:r w:rsidRPr="003E5A88">
        <w:rPr>
          <w:bCs/>
          <w:lang w:val="es-PR"/>
        </w:rPr>
        <w:t xml:space="preserve">, </w:t>
      </w:r>
      <w:r>
        <w:rPr>
          <w:bCs/>
          <w:lang w:val="es-PR"/>
        </w:rPr>
        <w:t xml:space="preserve">de </w:t>
      </w:r>
      <w:r w:rsidRPr="003E5A88">
        <w:rPr>
          <w:bCs/>
          <w:lang w:val="es-PR"/>
        </w:rPr>
        <w:t>6 de mayo de 2022</w:t>
      </w:r>
      <w:r>
        <w:rPr>
          <w:bCs/>
          <w:lang w:val="es-PR"/>
        </w:rPr>
        <w:t xml:space="preserve">, </w:t>
      </w:r>
      <w:r w:rsidRPr="00AE2E57">
        <w:rPr>
          <w:lang w:val="es-PR"/>
        </w:rPr>
        <w:t xml:space="preserve">del expediente </w:t>
      </w:r>
      <w:r>
        <w:rPr>
          <w:lang w:val="es-PR"/>
        </w:rPr>
        <w:t xml:space="preserve">administrativo en </w:t>
      </w:r>
      <w:r>
        <w:rPr>
          <w:b/>
          <w:lang w:val="es-PR"/>
        </w:rPr>
        <w:t>Ap.</w:t>
      </w:r>
      <w:r>
        <w:rPr>
          <w:lang w:val="es-PR"/>
        </w:rPr>
        <w:t xml:space="preserve">, </w:t>
      </w:r>
      <w:r>
        <w:rPr>
          <w:b/>
          <w:lang w:val="es-PR"/>
        </w:rPr>
        <w:t>pág.</w:t>
      </w:r>
      <w:r w:rsidR="00A134FC">
        <w:rPr>
          <w:b/>
          <w:lang w:val="es-PR"/>
        </w:rPr>
        <w:t xml:space="preserve"> 56-75</w:t>
      </w:r>
      <w:r>
        <w:rPr>
          <w:b/>
          <w:lang w:val="es-PR"/>
        </w:rPr>
        <w:t>.</w:t>
      </w:r>
      <w:r>
        <w:rPr>
          <w:lang w:val="es-PR"/>
        </w:rPr>
        <w:t xml:space="preserve"> </w:t>
      </w:r>
    </w:p>
  </w:footnote>
  <w:footnote w:id="33">
    <w:p w:rsidR="007C0891" w:rsidRPr="007E509F" w:rsidRDefault="007C0891">
      <w:pPr>
        <w:pStyle w:val="FootnoteText"/>
        <w:rPr>
          <w:b/>
          <w:lang w:val="es-PR"/>
        </w:rPr>
      </w:pPr>
      <w:r>
        <w:rPr>
          <w:rStyle w:val="FootnoteReference"/>
        </w:rPr>
        <w:footnoteRef/>
      </w:r>
      <w:r w:rsidRPr="007E509F">
        <w:rPr>
          <w:lang w:val="es-PR"/>
        </w:rPr>
        <w:t xml:space="preserve"> </w:t>
      </w:r>
      <w:r>
        <w:rPr>
          <w:lang w:val="es-PR"/>
        </w:rPr>
        <w:t xml:space="preserve">Véase el mismo en </w:t>
      </w:r>
      <w:r>
        <w:rPr>
          <w:b/>
          <w:lang w:val="es-PR"/>
        </w:rPr>
        <w:t>Ap., pág.</w:t>
      </w:r>
      <w:r w:rsidR="00761C69">
        <w:rPr>
          <w:b/>
          <w:lang w:val="es-PR"/>
        </w:rPr>
        <w:t xml:space="preserve"> 111-116</w:t>
      </w:r>
      <w:r>
        <w:rPr>
          <w:b/>
          <w:lang w:val="es-PR"/>
        </w:rPr>
        <w:t>.</w:t>
      </w:r>
    </w:p>
  </w:footnote>
  <w:footnote w:id="34">
    <w:p w:rsidR="007C0891" w:rsidRPr="007E509F" w:rsidRDefault="007C0891" w:rsidP="007E509F">
      <w:pPr>
        <w:pStyle w:val="FootnoteText"/>
        <w:jc w:val="both"/>
        <w:rPr>
          <w:lang w:val="es-PR"/>
        </w:rPr>
      </w:pPr>
      <w:r>
        <w:rPr>
          <w:rStyle w:val="FootnoteReference"/>
        </w:rPr>
        <w:footnoteRef/>
      </w:r>
      <w:r w:rsidRPr="007E509F">
        <w:rPr>
          <w:lang w:val="es-PR"/>
        </w:rPr>
        <w:t xml:space="preserve"> Véase la </w:t>
      </w:r>
      <w:r w:rsidRPr="007E509F">
        <w:rPr>
          <w:i/>
          <w:lang w:val="es-PR"/>
        </w:rPr>
        <w:t xml:space="preserve">Certificación de Notificación </w:t>
      </w:r>
      <w:r w:rsidRPr="007E509F">
        <w:rPr>
          <w:lang w:val="es-PR"/>
        </w:rPr>
        <w:t xml:space="preserve">del </w:t>
      </w:r>
      <w:r>
        <w:rPr>
          <w:i/>
          <w:lang w:val="es-PR"/>
        </w:rPr>
        <w:t xml:space="preserve">PERMISO IMPUGNADO </w:t>
      </w:r>
      <w:r>
        <w:rPr>
          <w:lang w:val="es-PR"/>
        </w:rPr>
        <w:t xml:space="preserve">(o la falta de la misma, según requerido por el </w:t>
      </w:r>
      <w:r>
        <w:rPr>
          <w:b/>
          <w:lang w:val="es-PR"/>
        </w:rPr>
        <w:t xml:space="preserve">art. 8.8, Ley Núm. 161, </w:t>
      </w:r>
      <w:r>
        <w:rPr>
          <w:b/>
          <w:i/>
          <w:lang w:val="es-PR"/>
        </w:rPr>
        <w:t>supra</w:t>
      </w:r>
      <w:r>
        <w:rPr>
          <w:lang w:val="es-PR"/>
        </w:rPr>
        <w:t xml:space="preserve">) en </w:t>
      </w:r>
      <w:r>
        <w:rPr>
          <w:b/>
          <w:lang w:val="es-PR"/>
        </w:rPr>
        <w:t>Ap.</w:t>
      </w:r>
      <w:r>
        <w:rPr>
          <w:lang w:val="es-PR"/>
        </w:rPr>
        <w:t xml:space="preserve">, </w:t>
      </w:r>
      <w:r>
        <w:rPr>
          <w:b/>
          <w:lang w:val="es-PR"/>
        </w:rPr>
        <w:t>pág.</w:t>
      </w:r>
      <w:r w:rsidR="00761C69">
        <w:rPr>
          <w:b/>
          <w:lang w:val="es-PR"/>
        </w:rPr>
        <w:t xml:space="preserve"> 116</w:t>
      </w:r>
      <w:r>
        <w:rPr>
          <w:b/>
          <w:lang w:val="es-PR"/>
        </w:rPr>
        <w:t>.</w:t>
      </w:r>
      <w:r>
        <w:rPr>
          <w:lang w:val="es-PR"/>
        </w:rPr>
        <w:t xml:space="preserve"> </w:t>
      </w:r>
    </w:p>
  </w:footnote>
  <w:footnote w:id="35">
    <w:p w:rsidR="007C0891" w:rsidRPr="00F23E85" w:rsidRDefault="007C0891">
      <w:pPr>
        <w:pStyle w:val="FootnoteText"/>
        <w:rPr>
          <w:b/>
          <w:lang w:val="es-PR"/>
        </w:rPr>
      </w:pPr>
      <w:r>
        <w:rPr>
          <w:rStyle w:val="FootnoteReference"/>
        </w:rPr>
        <w:footnoteRef/>
      </w:r>
      <w:r w:rsidRPr="00F23E85">
        <w:rPr>
          <w:lang w:val="es-PR"/>
        </w:rPr>
        <w:t xml:space="preserve"> Véase los hechos procesales, según expuestos en la </w:t>
      </w:r>
      <w:r>
        <w:rPr>
          <w:i/>
          <w:lang w:val="es-PR"/>
        </w:rPr>
        <w:t>SENTENCIA RRJ</w:t>
      </w:r>
      <w:r>
        <w:rPr>
          <w:lang w:val="es-PR"/>
        </w:rPr>
        <w:t xml:space="preserve">, en </w:t>
      </w:r>
      <w:r>
        <w:rPr>
          <w:b/>
          <w:lang w:val="es-PR"/>
        </w:rPr>
        <w:t>Ap., 1ra oración, penúltimo párrafo, pág. 4.</w:t>
      </w:r>
    </w:p>
  </w:footnote>
  <w:footnote w:id="36">
    <w:p w:rsidR="007C0891" w:rsidRPr="00F23E85" w:rsidRDefault="007C0891">
      <w:pPr>
        <w:pStyle w:val="FootnoteText"/>
        <w:rPr>
          <w:lang w:val="es-PR"/>
        </w:rPr>
      </w:pPr>
      <w:r>
        <w:rPr>
          <w:rStyle w:val="FootnoteReference"/>
        </w:rPr>
        <w:footnoteRef/>
      </w:r>
      <w:r w:rsidRPr="00F23E85">
        <w:rPr>
          <w:lang w:val="es-PR"/>
        </w:rPr>
        <w:t xml:space="preserve"> Véase los hechos procesales, según expuestos en la </w:t>
      </w:r>
      <w:r w:rsidRPr="00F23E85">
        <w:rPr>
          <w:i/>
          <w:lang w:val="es-PR"/>
        </w:rPr>
        <w:t>SENTENCIA RRJ</w:t>
      </w:r>
      <w:r w:rsidRPr="00F23E85">
        <w:rPr>
          <w:lang w:val="es-PR"/>
        </w:rPr>
        <w:t xml:space="preserve">, en </w:t>
      </w:r>
      <w:r w:rsidRPr="00F23E85">
        <w:rPr>
          <w:b/>
          <w:lang w:val="es-PR"/>
        </w:rPr>
        <w:t xml:space="preserve">Ap., </w:t>
      </w:r>
      <w:r>
        <w:rPr>
          <w:b/>
          <w:lang w:val="es-PR"/>
        </w:rPr>
        <w:t xml:space="preserve">2da oración, </w:t>
      </w:r>
      <w:r w:rsidRPr="00F23E85">
        <w:rPr>
          <w:b/>
          <w:lang w:val="es-PR"/>
        </w:rPr>
        <w:t>penúltimo párrafo, pág. 4</w:t>
      </w:r>
      <w:r>
        <w:rPr>
          <w:b/>
          <w:lang w:val="es-PR"/>
        </w:rPr>
        <w:t>.</w:t>
      </w:r>
    </w:p>
  </w:footnote>
  <w:footnote w:id="37">
    <w:p w:rsidR="007C0891" w:rsidRPr="000F27EC" w:rsidRDefault="007C0891">
      <w:pPr>
        <w:pStyle w:val="FootnoteText"/>
        <w:rPr>
          <w:lang w:val="es-PR"/>
        </w:rPr>
      </w:pPr>
      <w:r>
        <w:rPr>
          <w:rStyle w:val="FootnoteReference"/>
        </w:rPr>
        <w:footnoteRef/>
      </w:r>
      <w:r w:rsidRPr="000F27EC">
        <w:rPr>
          <w:lang w:val="es-PR"/>
        </w:rPr>
        <w:t xml:space="preserve"> Véase los hechos procesales, según expuestos en la </w:t>
      </w:r>
      <w:r w:rsidRPr="000F27EC">
        <w:rPr>
          <w:i/>
          <w:lang w:val="es-PR"/>
        </w:rPr>
        <w:t>SENTENCIA RRJ</w:t>
      </w:r>
      <w:r w:rsidRPr="000F27EC">
        <w:rPr>
          <w:lang w:val="es-PR"/>
        </w:rPr>
        <w:t xml:space="preserve">, en </w:t>
      </w:r>
      <w:r w:rsidRPr="000F27EC">
        <w:rPr>
          <w:b/>
          <w:lang w:val="es-PR"/>
        </w:rPr>
        <w:t>Ap., 1ra oración, último párrafo, pág. 4</w:t>
      </w:r>
      <w:r>
        <w:rPr>
          <w:b/>
          <w:lang w:val="es-PR"/>
        </w:rPr>
        <w:t>-5</w:t>
      </w:r>
      <w:r w:rsidRPr="000F27EC">
        <w:rPr>
          <w:b/>
          <w:lang w:val="es-PR"/>
        </w:rPr>
        <w:t>.</w:t>
      </w:r>
    </w:p>
  </w:footnote>
  <w:footnote w:id="38">
    <w:p w:rsidR="007C0891" w:rsidRPr="00F96B07" w:rsidRDefault="007C0891">
      <w:pPr>
        <w:pStyle w:val="FootnoteText"/>
        <w:rPr>
          <w:b/>
          <w:lang w:val="es-PR"/>
        </w:rPr>
      </w:pPr>
      <w:r>
        <w:rPr>
          <w:rStyle w:val="FootnoteReference"/>
        </w:rPr>
        <w:footnoteRef/>
      </w:r>
      <w:r w:rsidRPr="00F96B07">
        <w:rPr>
          <w:lang w:val="es-PR"/>
        </w:rPr>
        <w:t xml:space="preserve"> Véase el mismo en </w:t>
      </w:r>
      <w:r w:rsidRPr="00F96B07">
        <w:rPr>
          <w:b/>
          <w:lang w:val="es-PR"/>
        </w:rPr>
        <w:t>Ap.,</w:t>
      </w:r>
      <w:r>
        <w:rPr>
          <w:b/>
          <w:lang w:val="es-PR"/>
        </w:rPr>
        <w:t xml:space="preserve"> pág.</w:t>
      </w:r>
      <w:r w:rsidR="00761C69">
        <w:rPr>
          <w:b/>
          <w:lang w:val="es-PR"/>
        </w:rPr>
        <w:t xml:space="preserve"> 91-138</w:t>
      </w:r>
      <w:r>
        <w:rPr>
          <w:b/>
          <w:lang w:val="es-PR"/>
        </w:rPr>
        <w:t>.</w:t>
      </w:r>
    </w:p>
  </w:footnote>
  <w:footnote w:id="39">
    <w:p w:rsidR="007C0891" w:rsidRPr="00F96B07" w:rsidRDefault="007C0891">
      <w:pPr>
        <w:pStyle w:val="FootnoteText"/>
        <w:rPr>
          <w:b/>
          <w:lang w:val="es-PR"/>
        </w:rPr>
      </w:pPr>
      <w:r>
        <w:rPr>
          <w:rStyle w:val="FootnoteReference"/>
        </w:rPr>
        <w:footnoteRef/>
      </w:r>
      <w:r w:rsidRPr="00E04297">
        <w:t xml:space="preserve"> Según </w:t>
      </w:r>
      <w:r>
        <w:t xml:space="preserve">la </w:t>
      </w:r>
      <w:r>
        <w:rPr>
          <w:b/>
          <w:bCs/>
        </w:rPr>
        <w:t>sec. VI(C)(4)(b), Nationwide Programmatic Agreement for Review of Effects on Historic Properties for Certain Undertakings Approved by the Federal Communications Commission, FCC 04-222, de septiembre de 2004</w:t>
      </w:r>
      <w:r>
        <w:t xml:space="preserve">. </w:t>
      </w:r>
      <w:r w:rsidRPr="00F96B07">
        <w:rPr>
          <w:lang w:val="es-PR"/>
        </w:rPr>
        <w:t xml:space="preserve">Que se encuentra adjunto en </w:t>
      </w:r>
      <w:r w:rsidRPr="00F96B07">
        <w:rPr>
          <w:b/>
          <w:lang w:val="es-PR"/>
        </w:rPr>
        <w:t>Ap., pág.</w:t>
      </w:r>
      <w:r w:rsidR="00761C69">
        <w:rPr>
          <w:b/>
          <w:lang w:val="es-PR"/>
        </w:rPr>
        <w:t xml:space="preserve"> 203-232</w:t>
      </w:r>
      <w:r w:rsidRPr="00F96B07">
        <w:rPr>
          <w:b/>
          <w:lang w:val="es-PR"/>
        </w:rPr>
        <w:t>.</w:t>
      </w:r>
    </w:p>
  </w:footnote>
  <w:footnote w:id="40">
    <w:p w:rsidR="007C0891" w:rsidRPr="00F96B07" w:rsidRDefault="007C0891">
      <w:pPr>
        <w:pStyle w:val="FootnoteText"/>
        <w:rPr>
          <w:b/>
          <w:i/>
          <w:lang w:val="es-PR"/>
        </w:rPr>
      </w:pPr>
      <w:r>
        <w:rPr>
          <w:rStyle w:val="FootnoteReference"/>
        </w:rPr>
        <w:footnoteRef/>
      </w:r>
      <w:r w:rsidRPr="00F96B07">
        <w:rPr>
          <w:lang w:val="es-PR"/>
        </w:rPr>
        <w:t xml:space="preserve"> </w:t>
      </w:r>
      <w:r>
        <w:rPr>
          <w:lang w:val="es-PR"/>
        </w:rPr>
        <w:t xml:space="preserve">Véase el RRA completo en </w:t>
      </w:r>
      <w:r>
        <w:rPr>
          <w:b/>
          <w:lang w:val="es-PR"/>
        </w:rPr>
        <w:t>Ap., pág.</w:t>
      </w:r>
      <w:r w:rsidR="00761C69">
        <w:rPr>
          <w:b/>
          <w:lang w:val="es-PR"/>
        </w:rPr>
        <w:t xml:space="preserve"> 91-138</w:t>
      </w:r>
      <w:r>
        <w:rPr>
          <w:b/>
          <w:lang w:val="es-PR"/>
        </w:rPr>
        <w:t>.</w:t>
      </w:r>
    </w:p>
  </w:footnote>
  <w:footnote w:id="41">
    <w:p w:rsidR="007C0891" w:rsidRPr="001255FD" w:rsidRDefault="007C0891" w:rsidP="000F27EC">
      <w:pPr>
        <w:pStyle w:val="FootnoteText"/>
        <w:jc w:val="both"/>
        <w:rPr>
          <w:b/>
          <w:lang w:val="es-PR"/>
        </w:rPr>
      </w:pPr>
      <w:r>
        <w:rPr>
          <w:rStyle w:val="FootnoteReference"/>
        </w:rPr>
        <w:footnoteRef/>
      </w:r>
      <w:r w:rsidRPr="001255FD">
        <w:rPr>
          <w:lang w:val="es-PR"/>
        </w:rPr>
        <w:t xml:space="preserve"> </w:t>
      </w:r>
      <w:r w:rsidRPr="000F27EC">
        <w:rPr>
          <w:lang w:val="es-PR"/>
        </w:rPr>
        <w:t xml:space="preserve">Véase los hechos procesales, según expuestos en la </w:t>
      </w:r>
      <w:r w:rsidRPr="000F27EC">
        <w:rPr>
          <w:i/>
          <w:lang w:val="es-PR"/>
        </w:rPr>
        <w:t>SENTENCIA RRJ</w:t>
      </w:r>
      <w:r w:rsidRPr="000F27EC">
        <w:rPr>
          <w:lang w:val="es-PR"/>
        </w:rPr>
        <w:t xml:space="preserve">, en </w:t>
      </w:r>
      <w:r w:rsidRPr="000F27EC">
        <w:rPr>
          <w:b/>
          <w:lang w:val="es-PR"/>
        </w:rPr>
        <w:t xml:space="preserve">Ap., </w:t>
      </w:r>
      <w:r>
        <w:rPr>
          <w:b/>
          <w:lang w:val="es-PR"/>
        </w:rPr>
        <w:t>2d</w:t>
      </w:r>
      <w:r w:rsidRPr="000F27EC">
        <w:rPr>
          <w:b/>
          <w:lang w:val="es-PR"/>
        </w:rPr>
        <w:t xml:space="preserve">a oración, </w:t>
      </w:r>
      <w:r>
        <w:rPr>
          <w:b/>
          <w:lang w:val="es-PR"/>
        </w:rPr>
        <w:t>1er</w:t>
      </w:r>
      <w:r w:rsidRPr="000F27EC">
        <w:rPr>
          <w:b/>
          <w:lang w:val="es-PR"/>
        </w:rPr>
        <w:t xml:space="preserve"> párrafo, pág. </w:t>
      </w:r>
      <w:r>
        <w:rPr>
          <w:b/>
          <w:lang w:val="es-PR"/>
        </w:rPr>
        <w:t>5.</w:t>
      </w:r>
    </w:p>
  </w:footnote>
  <w:footnote w:id="42">
    <w:p w:rsidR="007C0891" w:rsidRPr="00230C09" w:rsidRDefault="007C0891" w:rsidP="00C8412F">
      <w:pPr>
        <w:pStyle w:val="FootnoteText"/>
        <w:jc w:val="both"/>
        <w:rPr>
          <w:rFonts w:ascii="Segoe UI Symbol" w:eastAsia="MS Mincho" w:hAnsi="Segoe UI Symbol"/>
          <w:b/>
          <w:lang w:val="es-PR" w:eastAsia="ja-JP"/>
        </w:rPr>
      </w:pPr>
      <w:r>
        <w:rPr>
          <w:rStyle w:val="FootnoteReference"/>
        </w:rPr>
        <w:footnoteRef/>
      </w:r>
      <w:r w:rsidRPr="00230C09">
        <w:rPr>
          <w:lang w:val="es-PR"/>
        </w:rPr>
        <w:t xml:space="preserve"> </w:t>
      </w:r>
      <w:r>
        <w:rPr>
          <w:lang w:val="es-PR"/>
        </w:rPr>
        <w:t xml:space="preserve">Véase la notificación del procesamiento del pago del recurso presentado, con hora de notificación a las 0:00 a.m. del 22 de junio de 2022 (esquina superior derecha), en </w:t>
      </w:r>
      <w:r>
        <w:rPr>
          <w:b/>
          <w:lang w:val="es-PR"/>
        </w:rPr>
        <w:t>Ap., pág.</w:t>
      </w:r>
      <w:r w:rsidR="00761C69">
        <w:rPr>
          <w:b/>
          <w:lang w:val="es-PR"/>
        </w:rPr>
        <w:t xml:space="preserve"> 153</w:t>
      </w:r>
      <w:r>
        <w:rPr>
          <w:b/>
          <w:lang w:val="es-PR"/>
        </w:rPr>
        <w:t>.</w:t>
      </w:r>
    </w:p>
  </w:footnote>
  <w:footnote w:id="43">
    <w:p w:rsidR="007C0891" w:rsidRPr="004B7885" w:rsidRDefault="007C0891" w:rsidP="00C8412F">
      <w:pPr>
        <w:pStyle w:val="FootnoteText"/>
        <w:rPr>
          <w:b/>
          <w:lang w:val="es-PR"/>
        </w:rPr>
      </w:pPr>
      <w:r>
        <w:rPr>
          <w:rStyle w:val="FootnoteReference"/>
        </w:rPr>
        <w:footnoteRef/>
      </w:r>
      <w:r w:rsidRPr="004B7885">
        <w:rPr>
          <w:lang w:val="es-PR"/>
        </w:rPr>
        <w:t xml:space="preserve"> </w:t>
      </w:r>
      <w:r>
        <w:rPr>
          <w:lang w:val="es-PR"/>
        </w:rPr>
        <w:t xml:space="preserve">Véase en </w:t>
      </w:r>
      <w:r>
        <w:rPr>
          <w:b/>
          <w:lang w:val="es-PR"/>
        </w:rPr>
        <w:t>Ap., pág.</w:t>
      </w:r>
      <w:r w:rsidR="00761C69">
        <w:rPr>
          <w:b/>
          <w:lang w:val="es-PR"/>
        </w:rPr>
        <w:t xml:space="preserve"> 48-53</w:t>
      </w:r>
      <w:r>
        <w:rPr>
          <w:b/>
          <w:lang w:val="es-PR"/>
        </w:rPr>
        <w:t>.</w:t>
      </w:r>
    </w:p>
  </w:footnote>
  <w:footnote w:id="44">
    <w:p w:rsidR="007C0891" w:rsidRPr="00D32084" w:rsidRDefault="007C0891" w:rsidP="00C8412F">
      <w:pPr>
        <w:pStyle w:val="FootnoteText"/>
        <w:rPr>
          <w:b/>
          <w:lang w:val="es-PR"/>
        </w:rPr>
      </w:pPr>
      <w:r>
        <w:rPr>
          <w:rStyle w:val="FootnoteReference"/>
        </w:rPr>
        <w:footnoteRef/>
      </w:r>
      <w:r w:rsidRPr="00D32084">
        <w:rPr>
          <w:lang w:val="es-PR"/>
        </w:rPr>
        <w:t xml:space="preserve"> </w:t>
      </w:r>
      <w:r>
        <w:rPr>
          <w:lang w:val="es-PR"/>
        </w:rPr>
        <w:t xml:space="preserve">Véase en </w:t>
      </w:r>
      <w:r>
        <w:rPr>
          <w:i/>
          <w:lang w:val="es-PR"/>
        </w:rPr>
        <w:t>íd.</w:t>
      </w:r>
      <w:r>
        <w:rPr>
          <w:lang w:val="es-PR"/>
        </w:rPr>
        <w:t xml:space="preserve">, en el </w:t>
      </w:r>
      <w:r>
        <w:rPr>
          <w:b/>
          <w:lang w:val="es-PR"/>
        </w:rPr>
        <w:t>penúltimo párrafo, Ap., pág.</w:t>
      </w:r>
      <w:r w:rsidR="00761C69">
        <w:rPr>
          <w:b/>
          <w:lang w:val="es-PR"/>
        </w:rPr>
        <w:t xml:space="preserve"> </w:t>
      </w:r>
      <w:r w:rsidR="00C61B50">
        <w:rPr>
          <w:b/>
          <w:lang w:val="es-PR"/>
        </w:rPr>
        <w:t>51</w:t>
      </w:r>
      <w:r>
        <w:rPr>
          <w:b/>
          <w:lang w:val="es-PR"/>
        </w:rPr>
        <w:t>.</w:t>
      </w:r>
    </w:p>
  </w:footnote>
  <w:footnote w:id="45">
    <w:p w:rsidR="007C0891" w:rsidRPr="00843A24" w:rsidRDefault="007C0891" w:rsidP="00C8412F">
      <w:pPr>
        <w:pStyle w:val="FootnoteText"/>
        <w:rPr>
          <w:b/>
          <w:lang w:val="es-PR"/>
        </w:rPr>
      </w:pPr>
      <w:r>
        <w:rPr>
          <w:rStyle w:val="FootnoteReference"/>
        </w:rPr>
        <w:footnoteRef/>
      </w:r>
      <w:r w:rsidRPr="00843A24">
        <w:rPr>
          <w:lang w:val="es-PR"/>
        </w:rPr>
        <w:t xml:space="preserve"> </w:t>
      </w:r>
      <w:r>
        <w:rPr>
          <w:lang w:val="es-PR"/>
        </w:rPr>
        <w:t xml:space="preserve">Véase adjunto en </w:t>
      </w:r>
      <w:r>
        <w:rPr>
          <w:b/>
          <w:lang w:val="es-PR"/>
        </w:rPr>
        <w:t>Ap., pág.</w:t>
      </w:r>
      <w:r w:rsidR="00C61B50">
        <w:rPr>
          <w:b/>
          <w:lang w:val="es-PR"/>
        </w:rPr>
        <w:t xml:space="preserve"> 143-152</w:t>
      </w:r>
      <w:r>
        <w:rPr>
          <w:b/>
          <w:lang w:val="es-PR"/>
        </w:rPr>
        <w:t>.</w:t>
      </w:r>
    </w:p>
  </w:footnote>
  <w:footnote w:id="46">
    <w:p w:rsidR="007C0891" w:rsidRPr="00C97AFF" w:rsidRDefault="007C0891" w:rsidP="00C8412F">
      <w:pPr>
        <w:pStyle w:val="FootnoteText"/>
        <w:rPr>
          <w:b/>
          <w:i/>
          <w:lang w:val="es-PR"/>
        </w:rPr>
      </w:pPr>
      <w:r>
        <w:rPr>
          <w:rStyle w:val="FootnoteReference"/>
        </w:rPr>
        <w:footnoteRef/>
      </w:r>
      <w:r w:rsidRPr="00C97AFF">
        <w:rPr>
          <w:lang w:val="es-PR"/>
        </w:rPr>
        <w:t xml:space="preserve"> </w:t>
      </w:r>
      <w:r>
        <w:rPr>
          <w:lang w:val="es-PR"/>
        </w:rPr>
        <w:t xml:space="preserve">Según el </w:t>
      </w:r>
      <w:r>
        <w:rPr>
          <w:b/>
          <w:lang w:val="es-PR"/>
        </w:rPr>
        <w:t xml:space="preserve">art. 1.5(21) y 9.10, Ley Núm. 161, </w:t>
      </w:r>
      <w:r>
        <w:rPr>
          <w:b/>
          <w:i/>
          <w:lang w:val="es-PR"/>
        </w:rPr>
        <w:t>supra.</w:t>
      </w:r>
    </w:p>
  </w:footnote>
  <w:footnote w:id="47">
    <w:p w:rsidR="007C0891" w:rsidRPr="006F3166" w:rsidRDefault="007C0891" w:rsidP="00C8412F">
      <w:pPr>
        <w:pStyle w:val="FootnoteText"/>
        <w:tabs>
          <w:tab w:val="left" w:pos="360"/>
        </w:tabs>
        <w:rPr>
          <w:b/>
          <w:lang w:val="es-PR"/>
        </w:rPr>
      </w:pPr>
      <w:r>
        <w:rPr>
          <w:rStyle w:val="FootnoteReference"/>
        </w:rPr>
        <w:footnoteRef/>
      </w:r>
      <w:r w:rsidRPr="00843A24">
        <w:rPr>
          <w:lang w:val="es-PR"/>
        </w:rPr>
        <w:t xml:space="preserve"> </w:t>
      </w:r>
      <w:r>
        <w:rPr>
          <w:lang w:val="es-PR"/>
        </w:rPr>
        <w:t xml:space="preserve">Véase el </w:t>
      </w:r>
      <w:r>
        <w:rPr>
          <w:i/>
          <w:lang w:val="es-PR"/>
        </w:rPr>
        <w:t>Reporte…</w:t>
      </w:r>
      <w:r>
        <w:rPr>
          <w:lang w:val="es-PR"/>
        </w:rPr>
        <w:t xml:space="preserve">, del Arq. Torres Albelo, </w:t>
      </w:r>
      <w:r>
        <w:rPr>
          <w:b/>
          <w:lang w:val="es-PR"/>
        </w:rPr>
        <w:t>Ap., pág.</w:t>
      </w:r>
      <w:r w:rsidR="00C61B50">
        <w:rPr>
          <w:b/>
          <w:lang w:val="es-PR"/>
        </w:rPr>
        <w:t xml:space="preserve"> 169-200</w:t>
      </w:r>
      <w:r>
        <w:rPr>
          <w:b/>
          <w:lang w:val="es-PR"/>
        </w:rPr>
        <w:t>.</w:t>
      </w:r>
    </w:p>
  </w:footnote>
  <w:footnote w:id="48">
    <w:p w:rsidR="007C0891" w:rsidRPr="00F96B07" w:rsidRDefault="007C0891">
      <w:pPr>
        <w:pStyle w:val="FootnoteText"/>
        <w:rPr>
          <w:b/>
          <w:lang w:val="es-PR"/>
        </w:rPr>
      </w:pPr>
      <w:r>
        <w:rPr>
          <w:rStyle w:val="FootnoteReference"/>
        </w:rPr>
        <w:footnoteRef/>
      </w:r>
      <w:r w:rsidRPr="00F96B07">
        <w:rPr>
          <w:lang w:val="es-PR"/>
        </w:rPr>
        <w:t xml:space="preserve"> </w:t>
      </w:r>
      <w:r>
        <w:rPr>
          <w:lang w:val="es-PR"/>
        </w:rPr>
        <w:t xml:space="preserve">Véase el mismo en </w:t>
      </w:r>
      <w:r>
        <w:rPr>
          <w:b/>
          <w:lang w:val="es-PR"/>
        </w:rPr>
        <w:t>Ap., pág.</w:t>
      </w:r>
      <w:r w:rsidR="00C61B50">
        <w:rPr>
          <w:b/>
          <w:lang w:val="es-PR"/>
        </w:rPr>
        <w:t xml:space="preserve"> 16-232</w:t>
      </w:r>
      <w:r>
        <w:rPr>
          <w:lang w:val="es-PR"/>
        </w:rPr>
        <w:t xml:space="preserve">, específicamente su ponche de presentación, con fecha, a la </w:t>
      </w:r>
      <w:r>
        <w:rPr>
          <w:b/>
          <w:lang w:val="es-PR"/>
        </w:rPr>
        <w:t>pág.</w:t>
      </w:r>
      <w:r w:rsidR="00C61B50">
        <w:rPr>
          <w:b/>
          <w:lang w:val="es-PR"/>
        </w:rPr>
        <w:t xml:space="preserve"> 16</w:t>
      </w:r>
      <w:r>
        <w:rPr>
          <w:b/>
          <w:lang w:val="es-PR"/>
        </w:rPr>
        <w:t>.</w:t>
      </w:r>
    </w:p>
  </w:footnote>
  <w:footnote w:id="49">
    <w:p w:rsidR="007C0891" w:rsidRPr="00023006" w:rsidRDefault="007C0891">
      <w:pPr>
        <w:pStyle w:val="FootnoteText"/>
        <w:rPr>
          <w:b/>
          <w:lang w:val="es-PR"/>
        </w:rPr>
      </w:pPr>
      <w:r>
        <w:rPr>
          <w:rStyle w:val="FootnoteReference"/>
        </w:rPr>
        <w:footnoteRef/>
      </w:r>
      <w:r w:rsidRPr="00023006">
        <w:rPr>
          <w:lang w:val="es-PR"/>
        </w:rPr>
        <w:t xml:space="preserve"> </w:t>
      </w:r>
      <w:r>
        <w:rPr>
          <w:lang w:val="es-PR"/>
        </w:rPr>
        <w:t xml:space="preserve">Véase el escrito </w:t>
      </w:r>
      <w:r>
        <w:rPr>
          <w:i/>
          <w:lang w:val="es-PR"/>
        </w:rPr>
        <w:t>MOCIÓN DE DESESTIMACIÓN</w:t>
      </w:r>
      <w:r>
        <w:rPr>
          <w:lang w:val="es-PR"/>
        </w:rPr>
        <w:t xml:space="preserve"> en </w:t>
      </w:r>
      <w:r>
        <w:rPr>
          <w:b/>
          <w:lang w:val="es-PR"/>
        </w:rPr>
        <w:t>Ap., pág.</w:t>
      </w:r>
      <w:r w:rsidR="00C61B50">
        <w:rPr>
          <w:b/>
          <w:lang w:val="es-PR"/>
        </w:rPr>
        <w:t xml:space="preserve"> 233-238</w:t>
      </w:r>
      <w:r>
        <w:rPr>
          <w:b/>
          <w:lang w:val="es-PR"/>
        </w:rPr>
        <w:t>.</w:t>
      </w:r>
    </w:p>
  </w:footnote>
  <w:footnote w:id="50">
    <w:p w:rsidR="007C0891" w:rsidRPr="00F15A4B" w:rsidRDefault="007C0891">
      <w:pPr>
        <w:pStyle w:val="FootnoteText"/>
        <w:rPr>
          <w:b/>
          <w:lang w:val="es-PR"/>
        </w:rPr>
      </w:pPr>
      <w:r>
        <w:rPr>
          <w:rStyle w:val="FootnoteReference"/>
        </w:rPr>
        <w:footnoteRef/>
      </w:r>
      <w:r w:rsidRPr="00F15A4B">
        <w:rPr>
          <w:lang w:val="es-PR"/>
        </w:rPr>
        <w:t xml:space="preserve"> </w:t>
      </w:r>
      <w:r>
        <w:rPr>
          <w:lang w:val="es-PR"/>
        </w:rPr>
        <w:t xml:space="preserve">Véase la </w:t>
      </w:r>
      <w:r>
        <w:rPr>
          <w:i/>
          <w:lang w:val="es-PR"/>
        </w:rPr>
        <w:t>MOCIÓN EN CUMPLIMIENTO DE ORDEN Y EN OPOSICIÓN A MOCIÓN DE DESESTIMACIÓN</w:t>
      </w:r>
      <w:r>
        <w:rPr>
          <w:lang w:val="es-PR"/>
        </w:rPr>
        <w:t xml:space="preserve">, de esta PARTE RECURRENTE, presentada el día 18 de agosto de 2022, adjunta en </w:t>
      </w:r>
      <w:r>
        <w:rPr>
          <w:b/>
          <w:lang w:val="es-PR"/>
        </w:rPr>
        <w:t>Ap., pág.</w:t>
      </w:r>
      <w:r w:rsidR="00C61B50">
        <w:rPr>
          <w:b/>
          <w:lang w:val="es-PR"/>
        </w:rPr>
        <w:t xml:space="preserve"> 239-243</w:t>
      </w:r>
      <w:r>
        <w:rPr>
          <w:b/>
          <w:lang w:val="es-PR"/>
        </w:rPr>
        <w:t>.</w:t>
      </w:r>
    </w:p>
  </w:footnote>
  <w:footnote w:id="51">
    <w:p w:rsidR="007C0891" w:rsidRPr="00C16C9A" w:rsidRDefault="007C0891">
      <w:pPr>
        <w:pStyle w:val="FootnoteText"/>
        <w:rPr>
          <w:b/>
          <w:lang w:val="es-PR"/>
        </w:rPr>
      </w:pPr>
      <w:r>
        <w:rPr>
          <w:rStyle w:val="FootnoteReference"/>
        </w:rPr>
        <w:footnoteRef/>
      </w:r>
      <w:r w:rsidRPr="00C16C9A">
        <w:rPr>
          <w:lang w:val="es-PR"/>
        </w:rPr>
        <w:t xml:space="preserve"> </w:t>
      </w:r>
      <w:r>
        <w:rPr>
          <w:lang w:val="es-PR"/>
        </w:rPr>
        <w:t xml:space="preserve">Véase la </w:t>
      </w:r>
      <w:r>
        <w:rPr>
          <w:i/>
          <w:lang w:val="es-PR"/>
        </w:rPr>
        <w:t>SOLICITUD DE DESESTIMACIÓN</w:t>
      </w:r>
      <w:r>
        <w:rPr>
          <w:lang w:val="es-PR"/>
        </w:rPr>
        <w:t xml:space="preserve"> de la OGPe en </w:t>
      </w:r>
      <w:r>
        <w:rPr>
          <w:b/>
          <w:lang w:val="es-PR"/>
        </w:rPr>
        <w:t>Ap., pág.</w:t>
      </w:r>
      <w:r w:rsidR="00C61B50">
        <w:rPr>
          <w:b/>
          <w:lang w:val="es-PR"/>
        </w:rPr>
        <w:t xml:space="preserve"> 244-249</w:t>
      </w:r>
      <w:r>
        <w:rPr>
          <w:lang w:val="es-PR"/>
        </w:rPr>
        <w:t xml:space="preserve">, y la cita específica a la </w:t>
      </w:r>
      <w:r>
        <w:rPr>
          <w:b/>
          <w:lang w:val="es-PR"/>
        </w:rPr>
        <w:t>pág.</w:t>
      </w:r>
      <w:r w:rsidR="00C61B50">
        <w:rPr>
          <w:b/>
          <w:lang w:val="es-PR"/>
        </w:rPr>
        <w:t xml:space="preserve"> 244</w:t>
      </w:r>
      <w:r>
        <w:rPr>
          <w:b/>
          <w:lang w:val="es-PR"/>
        </w:rPr>
        <w:t>.</w:t>
      </w:r>
    </w:p>
  </w:footnote>
  <w:footnote w:id="52">
    <w:p w:rsidR="007C0891" w:rsidRPr="003C0D35" w:rsidRDefault="007C0891">
      <w:pPr>
        <w:pStyle w:val="FootnoteText"/>
        <w:rPr>
          <w:b/>
          <w:lang w:val="es-PR"/>
        </w:rPr>
      </w:pPr>
      <w:r>
        <w:rPr>
          <w:rStyle w:val="FootnoteReference"/>
        </w:rPr>
        <w:footnoteRef/>
      </w:r>
      <w:r w:rsidRPr="003C0D35">
        <w:rPr>
          <w:lang w:val="es-PR"/>
        </w:rPr>
        <w:t xml:space="preserve"> </w:t>
      </w:r>
      <w:r>
        <w:rPr>
          <w:lang w:val="es-PR"/>
        </w:rPr>
        <w:t xml:space="preserve">Se adjunta dicho escrito en </w:t>
      </w:r>
      <w:r>
        <w:rPr>
          <w:b/>
          <w:lang w:val="es-PR"/>
        </w:rPr>
        <w:t>Ap., pág.</w:t>
      </w:r>
      <w:r w:rsidR="00C61B50">
        <w:rPr>
          <w:b/>
          <w:lang w:val="es-PR"/>
        </w:rPr>
        <w:t xml:space="preserve"> 250-</w:t>
      </w:r>
      <w:r w:rsidR="002613B7">
        <w:rPr>
          <w:b/>
          <w:lang w:val="es-PR"/>
        </w:rPr>
        <w:t>254</w:t>
      </w:r>
      <w:r>
        <w:rPr>
          <w:b/>
          <w:lang w:val="es-PR"/>
        </w:rPr>
        <w:t>.</w:t>
      </w:r>
    </w:p>
  </w:footnote>
  <w:footnote w:id="53">
    <w:p w:rsidR="007C0891" w:rsidRPr="007E295D" w:rsidRDefault="007C0891">
      <w:pPr>
        <w:pStyle w:val="FootnoteText"/>
        <w:rPr>
          <w:lang w:val="es-PR"/>
        </w:rPr>
      </w:pPr>
      <w:r>
        <w:rPr>
          <w:rStyle w:val="FootnoteReference"/>
        </w:rPr>
        <w:footnoteRef/>
      </w:r>
      <w:r w:rsidRPr="000007E5">
        <w:rPr>
          <w:lang w:val="es-PR"/>
        </w:rPr>
        <w:t xml:space="preserve"> </w:t>
      </w:r>
      <w:r>
        <w:rPr>
          <w:lang w:val="es-PR"/>
        </w:rPr>
        <w:t xml:space="preserve">Véanse las fotos que se adjuntaron al posterior auxilio de jurisdicción presentado por esta PARTE en </w:t>
      </w:r>
      <w:r>
        <w:rPr>
          <w:b/>
          <w:lang w:val="es-PR"/>
        </w:rPr>
        <w:t>Ap., pág.</w:t>
      </w:r>
      <w:r w:rsidR="002613B7">
        <w:rPr>
          <w:b/>
          <w:lang w:val="es-PR"/>
        </w:rPr>
        <w:t xml:space="preserve"> 263</w:t>
      </w:r>
      <w:r>
        <w:rPr>
          <w:b/>
          <w:lang w:val="es-PR"/>
        </w:rPr>
        <w:t xml:space="preserve">, </w:t>
      </w:r>
      <w:r>
        <w:rPr>
          <w:lang w:val="es-PR"/>
        </w:rPr>
        <w:t xml:space="preserve">específicamente la </w:t>
      </w:r>
      <w:r w:rsidRPr="007E295D">
        <w:rPr>
          <w:b/>
          <w:lang w:val="es-PR"/>
        </w:rPr>
        <w:t>3ra foto</w:t>
      </w:r>
      <w:r>
        <w:rPr>
          <w:lang w:val="es-PR"/>
        </w:rPr>
        <w:t>.</w:t>
      </w:r>
    </w:p>
  </w:footnote>
  <w:footnote w:id="54">
    <w:p w:rsidR="007C0891" w:rsidRPr="0097611B" w:rsidRDefault="007C0891" w:rsidP="007E295D">
      <w:pPr>
        <w:pStyle w:val="FootnoteText"/>
        <w:rPr>
          <w:b/>
          <w:lang w:val="es-PR"/>
        </w:rPr>
      </w:pPr>
      <w:r>
        <w:rPr>
          <w:rStyle w:val="FootnoteReference"/>
        </w:rPr>
        <w:footnoteRef/>
      </w:r>
      <w:r w:rsidRPr="0097611B">
        <w:rPr>
          <w:lang w:val="es-PR"/>
        </w:rPr>
        <w:t xml:space="preserve"> </w:t>
      </w:r>
      <w:r>
        <w:rPr>
          <w:lang w:val="es-PR"/>
        </w:rPr>
        <w:t xml:space="preserve">Se adjunta dicho correo electrónico, que formuló también como anejo al </w:t>
      </w:r>
      <w:r w:rsidRPr="007E295D">
        <w:rPr>
          <w:i/>
          <w:lang w:val="es-PR"/>
        </w:rPr>
        <w:t>AUXILIO</w:t>
      </w:r>
      <w:r>
        <w:rPr>
          <w:i/>
          <w:lang w:val="es-PR"/>
        </w:rPr>
        <w:t>…</w:t>
      </w:r>
      <w:r>
        <w:rPr>
          <w:lang w:val="es-PR"/>
        </w:rPr>
        <w:t xml:space="preserve">, en </w:t>
      </w:r>
      <w:r>
        <w:rPr>
          <w:b/>
          <w:lang w:val="es-PR"/>
        </w:rPr>
        <w:t>Ap., pág.</w:t>
      </w:r>
      <w:r w:rsidR="002613B7">
        <w:rPr>
          <w:b/>
          <w:lang w:val="es-PR"/>
        </w:rPr>
        <w:t xml:space="preserve"> 264-265</w:t>
      </w:r>
      <w:r>
        <w:rPr>
          <w:b/>
          <w:lang w:val="es-PR"/>
        </w:rPr>
        <w:t>.</w:t>
      </w:r>
    </w:p>
  </w:footnote>
  <w:footnote w:id="55">
    <w:p w:rsidR="007C0891" w:rsidRPr="0036726A" w:rsidRDefault="007C0891" w:rsidP="00D0056A">
      <w:pPr>
        <w:pStyle w:val="FootnoteText"/>
        <w:rPr>
          <w:b/>
          <w:lang w:val="es-PR"/>
        </w:rPr>
      </w:pPr>
      <w:r>
        <w:rPr>
          <w:rStyle w:val="FootnoteReference"/>
        </w:rPr>
        <w:footnoteRef/>
      </w:r>
      <w:r w:rsidRPr="0036726A">
        <w:rPr>
          <w:lang w:val="es-PR"/>
        </w:rPr>
        <w:t xml:space="preserve"> </w:t>
      </w:r>
      <w:r>
        <w:rPr>
          <w:lang w:val="es-PR"/>
        </w:rPr>
        <w:t xml:space="preserve">Véase las fotos de la misma, tomada por los RECURRENTES, como anejo al </w:t>
      </w:r>
      <w:r w:rsidRPr="007E295D">
        <w:rPr>
          <w:i/>
          <w:lang w:val="es-PR"/>
        </w:rPr>
        <w:t>AUXILIO</w:t>
      </w:r>
      <w:r>
        <w:rPr>
          <w:i/>
          <w:lang w:val="es-PR"/>
        </w:rPr>
        <w:t xml:space="preserve">…, </w:t>
      </w:r>
      <w:r>
        <w:rPr>
          <w:lang w:val="es-PR"/>
        </w:rPr>
        <w:t xml:space="preserve">en </w:t>
      </w:r>
      <w:r>
        <w:rPr>
          <w:b/>
          <w:lang w:val="es-PR"/>
        </w:rPr>
        <w:t>Ap., pág.</w:t>
      </w:r>
      <w:r w:rsidR="002613B7">
        <w:rPr>
          <w:b/>
          <w:lang w:val="es-PR"/>
        </w:rPr>
        <w:t xml:space="preserve"> 266</w:t>
      </w:r>
      <w:r>
        <w:rPr>
          <w:b/>
          <w:lang w:val="es-PR"/>
        </w:rPr>
        <w:t>.</w:t>
      </w:r>
    </w:p>
  </w:footnote>
  <w:footnote w:id="56">
    <w:p w:rsidR="007C0891" w:rsidRPr="000906F5" w:rsidRDefault="007C0891">
      <w:pPr>
        <w:pStyle w:val="FootnoteText"/>
        <w:rPr>
          <w:b/>
          <w:lang w:val="es-PR"/>
        </w:rPr>
      </w:pPr>
      <w:r>
        <w:rPr>
          <w:rStyle w:val="FootnoteReference"/>
        </w:rPr>
        <w:footnoteRef/>
      </w:r>
      <w:r w:rsidRPr="000906F5">
        <w:rPr>
          <w:lang w:val="es-PR"/>
        </w:rPr>
        <w:t xml:space="preserve"> </w:t>
      </w:r>
      <w:r>
        <w:rPr>
          <w:lang w:val="es-PR"/>
        </w:rPr>
        <w:t xml:space="preserve">Se adjunta dicho </w:t>
      </w:r>
      <w:r>
        <w:rPr>
          <w:i/>
          <w:lang w:val="es-PR"/>
        </w:rPr>
        <w:t>AUXILIO…</w:t>
      </w:r>
      <w:r>
        <w:rPr>
          <w:lang w:val="es-PR"/>
        </w:rPr>
        <w:t xml:space="preserve"> como </w:t>
      </w:r>
      <w:r>
        <w:rPr>
          <w:b/>
          <w:lang w:val="es-PR"/>
        </w:rPr>
        <w:t>Ap., pág.</w:t>
      </w:r>
      <w:r w:rsidR="002613B7">
        <w:rPr>
          <w:b/>
          <w:lang w:val="es-PR"/>
        </w:rPr>
        <w:t xml:space="preserve"> 255-266</w:t>
      </w:r>
      <w:r>
        <w:rPr>
          <w:b/>
          <w:lang w:val="es-PR"/>
        </w:rPr>
        <w:t>.</w:t>
      </w:r>
    </w:p>
  </w:footnote>
  <w:footnote w:id="57">
    <w:p w:rsidR="002613B7" w:rsidRPr="002613B7" w:rsidRDefault="002613B7">
      <w:pPr>
        <w:pStyle w:val="FootnoteText"/>
        <w:rPr>
          <w:b/>
          <w:lang w:val="es-PR"/>
        </w:rPr>
      </w:pPr>
      <w:r>
        <w:rPr>
          <w:rStyle w:val="FootnoteReference"/>
        </w:rPr>
        <w:footnoteRef/>
      </w:r>
      <w:r w:rsidRPr="002613B7">
        <w:rPr>
          <w:lang w:val="es-PR"/>
        </w:rPr>
        <w:t xml:space="preserve"> </w:t>
      </w:r>
      <w:r>
        <w:rPr>
          <w:lang w:val="es-PR"/>
        </w:rPr>
        <w:t xml:space="preserve">Se adjunta la misma, con su notificación, en </w:t>
      </w:r>
      <w:r>
        <w:rPr>
          <w:b/>
          <w:lang w:val="es-PR"/>
        </w:rPr>
        <w:t>Ap., 267-268.</w:t>
      </w:r>
    </w:p>
  </w:footnote>
  <w:footnote w:id="58">
    <w:p w:rsidR="007C0891" w:rsidRPr="00D069E9" w:rsidRDefault="007C0891" w:rsidP="007A0D1A">
      <w:pPr>
        <w:pStyle w:val="FootnoteText"/>
        <w:jc w:val="both"/>
        <w:rPr>
          <w:lang w:val="es-PR"/>
        </w:rPr>
      </w:pPr>
      <w:r>
        <w:rPr>
          <w:rStyle w:val="FootnoteReference"/>
        </w:rPr>
        <w:footnoteRef/>
      </w:r>
      <w:r w:rsidRPr="00D069E9">
        <w:rPr>
          <w:lang w:val="es-PR"/>
        </w:rPr>
        <w:t xml:space="preserve"> </w:t>
      </w:r>
      <w:r w:rsidRPr="00D069E9">
        <w:rPr>
          <w:bCs/>
          <w:iCs/>
          <w:lang w:val="es-ES_tradnl"/>
        </w:rPr>
        <w:t xml:space="preserve">En iguales término se expresan las derogadas </w:t>
      </w:r>
      <w:r w:rsidRPr="00D069E9">
        <w:rPr>
          <w:b/>
          <w:bCs/>
          <w:iCs/>
          <w:lang w:val="es-ES_tradnl"/>
        </w:rPr>
        <w:t xml:space="preserve">sec. </w:t>
      </w:r>
      <w:r w:rsidRPr="00D069E9">
        <w:rPr>
          <w:b/>
          <w:bCs/>
          <w:iCs/>
          <w:lang w:val="es-PR"/>
        </w:rPr>
        <w:t xml:space="preserve">9.11.2.3(b), Reglamento Conjunto 2019 </w:t>
      </w:r>
      <w:r w:rsidRPr="00D069E9">
        <w:rPr>
          <w:bCs/>
          <w:iCs/>
          <w:lang w:val="es-PR"/>
        </w:rPr>
        <w:t xml:space="preserve">y </w:t>
      </w:r>
      <w:r w:rsidRPr="00D069E9">
        <w:rPr>
          <w:b/>
          <w:bCs/>
          <w:iCs/>
          <w:lang w:val="es-PR"/>
        </w:rPr>
        <w:t>sec. 9.11.2.3(b), Reglamento Conjunto 2020</w:t>
      </w:r>
      <w:r w:rsidRPr="00D069E9">
        <w:rPr>
          <w:bCs/>
          <w:iCs/>
          <w:lang w:val="es-PR"/>
        </w:rPr>
        <w:t xml:space="preserve">, salvo que los últimos dos hacen referencia a la clasificación de susceptibilidad de deslizamientos determinado por el USGS. </w:t>
      </w:r>
    </w:p>
  </w:footnote>
  <w:footnote w:id="59">
    <w:p w:rsidR="007C0891" w:rsidRPr="00684D8B" w:rsidRDefault="007C0891" w:rsidP="007A0D1A">
      <w:pPr>
        <w:pStyle w:val="FootnoteText"/>
        <w:jc w:val="both"/>
        <w:rPr>
          <w:lang w:val="es-PR"/>
        </w:rPr>
      </w:pPr>
      <w:r>
        <w:rPr>
          <w:rStyle w:val="FootnoteReference"/>
        </w:rPr>
        <w:footnoteRef/>
      </w:r>
      <w:r w:rsidRPr="00341ABF">
        <w:rPr>
          <w:lang w:val="es-PR"/>
        </w:rPr>
        <w:t xml:space="preserve"> </w:t>
      </w:r>
      <w:r>
        <w:rPr>
          <w:lang w:val="es-PR"/>
        </w:rPr>
        <w:t xml:space="preserve">Que incluye al USDA, véase </w:t>
      </w:r>
      <w:r>
        <w:rPr>
          <w:b/>
          <w:lang w:val="es-PR"/>
        </w:rPr>
        <w:t xml:space="preserve">sec. 752(3)(A)(i), Geospatial Data Act of 2018, </w:t>
      </w:r>
      <w:r>
        <w:rPr>
          <w:b/>
          <w:i/>
          <w:lang w:val="es-PR"/>
        </w:rPr>
        <w:t>supra.</w:t>
      </w:r>
    </w:p>
  </w:footnote>
  <w:footnote w:id="60">
    <w:p w:rsidR="007C0891" w:rsidRPr="004571AD" w:rsidRDefault="007C0891" w:rsidP="007A0D1A">
      <w:pPr>
        <w:pStyle w:val="FootnoteText"/>
        <w:jc w:val="both"/>
        <w:rPr>
          <w:b/>
          <w:i/>
        </w:rPr>
      </w:pPr>
      <w:r>
        <w:rPr>
          <w:rStyle w:val="FootnoteReference"/>
        </w:rPr>
        <w:footnoteRef/>
      </w:r>
      <w:r w:rsidRPr="00684D8B">
        <w:rPr>
          <w:lang w:val="es-PR"/>
        </w:rPr>
        <w:t xml:space="preserve"> </w:t>
      </w:r>
      <w:r>
        <w:rPr>
          <w:lang w:val="es-PR"/>
        </w:rPr>
        <w:t xml:space="preserve">Traducción nuestra. </w:t>
      </w:r>
      <w:r w:rsidRPr="004571AD">
        <w:t>El original lee: “The National S</w:t>
      </w:r>
      <w:r>
        <w:t xml:space="preserve">patial Data Infrastructure shall ensure that geospatial data from multiple sources (including the covered agencies, State, local, and tribal governments, the private sector, and institutions of higher education) is available and easily integrated to enhance the understanding of the physical and cultural world.”, </w:t>
      </w:r>
      <w:r>
        <w:rPr>
          <w:b/>
          <w:i/>
        </w:rPr>
        <w:t>Íd.</w:t>
      </w:r>
    </w:p>
  </w:footnote>
  <w:footnote w:id="61">
    <w:p w:rsidR="007C0891" w:rsidRPr="009E531F" w:rsidRDefault="007C0891" w:rsidP="007A0D1A">
      <w:pPr>
        <w:pStyle w:val="FootnoteText"/>
        <w:jc w:val="both"/>
        <w:rPr>
          <w:b/>
          <w:i/>
        </w:rPr>
      </w:pPr>
      <w:r>
        <w:rPr>
          <w:rStyle w:val="FootnoteReference"/>
        </w:rPr>
        <w:footnoteRef/>
      </w:r>
      <w:r w:rsidRPr="00D069E9">
        <w:t xml:space="preserve"> Traducción nuestra. </w:t>
      </w:r>
      <w:r w:rsidRPr="009E531F">
        <w:t>El texto original lee: “coordinate and facilitate the collection, dissemination,</w:t>
      </w:r>
      <w:r>
        <w:t xml:space="preserve"> </w:t>
      </w:r>
      <w:r w:rsidRPr="009E531F">
        <w:t>and use of 3D elevation data among Federal departments</w:t>
      </w:r>
      <w:r>
        <w:t xml:space="preserve"> </w:t>
      </w:r>
      <w:r w:rsidRPr="009E531F">
        <w:t>and agencies and non-Federal entities</w:t>
      </w:r>
      <w:r>
        <w:t xml:space="preserve">.”, </w:t>
      </w:r>
      <w:r>
        <w:rPr>
          <w:b/>
          <w:i/>
        </w:rPr>
        <w:t>Íd.</w:t>
      </w:r>
    </w:p>
  </w:footnote>
  <w:footnote w:id="62">
    <w:p w:rsidR="007C0891" w:rsidRPr="00E20F90" w:rsidRDefault="007C0891" w:rsidP="002816DE">
      <w:pPr>
        <w:pStyle w:val="FootnoteText"/>
        <w:jc w:val="both"/>
        <w:rPr>
          <w:b/>
          <w:lang w:val="es-PR"/>
        </w:rPr>
      </w:pPr>
      <w:r>
        <w:rPr>
          <w:rStyle w:val="FootnoteReference"/>
        </w:rPr>
        <w:footnoteRef/>
      </w:r>
      <w:r w:rsidRPr="002816DE">
        <w:t xml:space="preserve"> </w:t>
      </w:r>
      <w:r w:rsidRPr="002816DE">
        <w:rPr>
          <w:bCs/>
          <w:iCs/>
        </w:rPr>
        <w:t xml:space="preserve">Véase el </w:t>
      </w:r>
      <w:r w:rsidRPr="002816DE">
        <w:rPr>
          <w:bCs/>
          <w:i/>
          <w:iCs/>
        </w:rPr>
        <w:t>overall length</w:t>
      </w:r>
      <w:r w:rsidRPr="002816DE">
        <w:rPr>
          <w:bCs/>
          <w:iCs/>
        </w:rPr>
        <w:t xml:space="preserve"> de la Tabla </w:t>
      </w:r>
      <w:r w:rsidRPr="002816DE">
        <w:rPr>
          <w:bCs/>
          <w:i/>
          <w:iCs/>
        </w:rPr>
        <w:t>Foundation Design</w:t>
      </w:r>
      <w:r w:rsidRPr="002816DE">
        <w:rPr>
          <w:bCs/>
          <w:iCs/>
        </w:rPr>
        <w:t xml:space="preserve"> el plano </w:t>
      </w:r>
      <w:r w:rsidRPr="002816DE">
        <w:rPr>
          <w:bCs/>
          <w:i/>
          <w:iCs/>
        </w:rPr>
        <w:t>Foundation details</w:t>
      </w:r>
      <w:r w:rsidRPr="002816DE">
        <w:rPr>
          <w:bCs/>
          <w:iCs/>
        </w:rPr>
        <w:t xml:space="preserve">, F-1, por Tower Engineering Professionals, certificado por el Ing. </w:t>
      </w:r>
      <w:r w:rsidRPr="00E20F90">
        <w:rPr>
          <w:bCs/>
          <w:iCs/>
          <w:lang w:val="es-PR"/>
        </w:rPr>
        <w:t>Wi</w:t>
      </w:r>
      <w:r>
        <w:rPr>
          <w:bCs/>
          <w:iCs/>
          <w:lang w:val="es-PR"/>
        </w:rPr>
        <w:t>lliam H. Martin</w:t>
      </w:r>
      <w:r w:rsidRPr="00E20F90">
        <w:rPr>
          <w:bCs/>
          <w:iCs/>
          <w:lang w:val="es-PR"/>
        </w:rPr>
        <w:t>, de 13 de diciembre de 2021</w:t>
      </w:r>
      <w:r>
        <w:rPr>
          <w:bCs/>
          <w:iCs/>
          <w:lang w:val="es-PR"/>
        </w:rPr>
        <w:t xml:space="preserve">, en </w:t>
      </w:r>
      <w:r>
        <w:rPr>
          <w:b/>
          <w:bCs/>
          <w:iCs/>
          <w:lang w:val="es-PR"/>
        </w:rPr>
        <w:t>Ap., pág.</w:t>
      </w:r>
      <w:r w:rsidR="002613B7">
        <w:rPr>
          <w:b/>
          <w:bCs/>
          <w:iCs/>
          <w:lang w:val="es-PR"/>
        </w:rPr>
        <w:t xml:space="preserve"> 78</w:t>
      </w:r>
      <w:r>
        <w:rPr>
          <w:b/>
          <w:bCs/>
          <w:iCs/>
          <w:lang w:val="es-PR"/>
        </w:rPr>
        <w:t>.</w:t>
      </w:r>
    </w:p>
  </w:footnote>
  <w:footnote w:id="63">
    <w:p w:rsidR="007C0891" w:rsidRPr="00231C84" w:rsidRDefault="007C0891" w:rsidP="002816DE">
      <w:pPr>
        <w:pStyle w:val="FootnoteText"/>
        <w:jc w:val="both"/>
        <w:rPr>
          <w:b/>
          <w:lang w:val="es-PR"/>
        </w:rPr>
      </w:pPr>
      <w:r>
        <w:rPr>
          <w:rStyle w:val="FootnoteReference"/>
        </w:rPr>
        <w:footnoteRef/>
      </w:r>
      <w:r w:rsidRPr="00231C84">
        <w:rPr>
          <w:lang w:val="es-PR"/>
        </w:rPr>
        <w:t xml:space="preserve"> </w:t>
      </w:r>
      <w:r>
        <w:rPr>
          <w:bCs/>
          <w:iCs/>
          <w:lang w:val="es-PR"/>
        </w:rPr>
        <w:t>V</w:t>
      </w:r>
      <w:r w:rsidRPr="00231C84">
        <w:rPr>
          <w:bCs/>
          <w:iCs/>
          <w:lang w:val="es-PR"/>
        </w:rPr>
        <w:t>éase</w:t>
      </w:r>
      <w:r>
        <w:rPr>
          <w:bCs/>
          <w:iCs/>
          <w:lang w:val="es-PR"/>
        </w:rPr>
        <w:t xml:space="preserve"> las perforaciones para postes nuevos descritos en</w:t>
      </w:r>
      <w:r w:rsidRPr="00231C84">
        <w:rPr>
          <w:bCs/>
          <w:iCs/>
          <w:lang w:val="es-PR"/>
        </w:rPr>
        <w:t xml:space="preserve"> los Planos </w:t>
      </w:r>
      <w:r w:rsidRPr="00231C84">
        <w:rPr>
          <w:bCs/>
          <w:i/>
          <w:iCs/>
          <w:lang w:val="es-PR"/>
        </w:rPr>
        <w:t>Electrical Site Plan &amp; Details</w:t>
      </w:r>
      <w:r w:rsidRPr="00231C84">
        <w:rPr>
          <w:bCs/>
          <w:iCs/>
          <w:lang w:val="es-PR"/>
        </w:rPr>
        <w:t xml:space="preserve">, ES-02, y el Plano </w:t>
      </w:r>
      <w:r w:rsidRPr="00231C84">
        <w:rPr>
          <w:bCs/>
          <w:i/>
          <w:iCs/>
          <w:lang w:val="es-PR"/>
        </w:rPr>
        <w:t>Riser/One Line Diagram &amp; Details</w:t>
      </w:r>
      <w:r w:rsidRPr="00231C84">
        <w:rPr>
          <w:bCs/>
          <w:iCs/>
          <w:lang w:val="es-PR"/>
        </w:rPr>
        <w:t>, ES-03, por PAC General, certificados por el Ing. Pedro Cid Fernández, Lic. Núm. 16</w:t>
      </w:r>
      <w:r>
        <w:rPr>
          <w:bCs/>
          <w:iCs/>
          <w:lang w:val="es-PR"/>
        </w:rPr>
        <w:t xml:space="preserve">521, de 19 de mayo de 2021, en </w:t>
      </w:r>
      <w:r>
        <w:rPr>
          <w:b/>
          <w:bCs/>
          <w:iCs/>
          <w:lang w:val="es-PR"/>
        </w:rPr>
        <w:t>Ap., pág.</w:t>
      </w:r>
      <w:r w:rsidR="002613B7">
        <w:rPr>
          <w:b/>
          <w:bCs/>
          <w:iCs/>
          <w:lang w:val="es-PR"/>
        </w:rPr>
        <w:t xml:space="preserve"> 118-119</w:t>
      </w:r>
      <w:r>
        <w:rPr>
          <w:b/>
          <w:bCs/>
          <w:iCs/>
          <w:lang w:val="es-PR"/>
        </w:rPr>
        <w:t>, respectivamente.</w:t>
      </w:r>
    </w:p>
  </w:footnote>
  <w:footnote w:id="64">
    <w:p w:rsidR="007C0891" w:rsidRPr="002816DE" w:rsidRDefault="007C0891" w:rsidP="002816DE">
      <w:pPr>
        <w:pStyle w:val="FootnoteText"/>
        <w:jc w:val="both"/>
      </w:pPr>
      <w:r>
        <w:rPr>
          <w:rStyle w:val="FootnoteReference"/>
        </w:rPr>
        <w:footnoteRef/>
      </w:r>
      <w:r w:rsidRPr="002816DE">
        <w:t xml:space="preserve"> Véase en </w:t>
      </w:r>
      <w:r w:rsidRPr="002816DE">
        <w:rPr>
          <w:b/>
        </w:rPr>
        <w:t xml:space="preserve">“Map depicting susceptibility to landslides triggered by intense rainfall, Puerto Rico”, USGS, </w:t>
      </w:r>
      <w:r>
        <w:rPr>
          <w:b/>
          <w:i/>
        </w:rPr>
        <w:t>supra</w:t>
      </w:r>
      <w:r w:rsidRPr="002816DE">
        <w:rPr>
          <w:b/>
        </w:rPr>
        <w:t xml:space="preserve">, </w:t>
      </w:r>
      <w:r w:rsidRPr="002816DE">
        <w:t xml:space="preserve">en </w:t>
      </w:r>
      <w:r w:rsidRPr="002816DE">
        <w:rPr>
          <w:b/>
        </w:rPr>
        <w:t>Ap., pág.</w:t>
      </w:r>
      <w:r w:rsidR="002613B7">
        <w:rPr>
          <w:b/>
        </w:rPr>
        <w:t xml:space="preserve"> 120</w:t>
      </w:r>
      <w:r w:rsidRPr="002816DE">
        <w:t xml:space="preserve">. </w:t>
      </w:r>
    </w:p>
  </w:footnote>
  <w:footnote w:id="65">
    <w:p w:rsidR="007C0891" w:rsidRPr="009C1816" w:rsidRDefault="007C0891" w:rsidP="002816DE">
      <w:pPr>
        <w:pStyle w:val="FootnoteText"/>
        <w:jc w:val="both"/>
        <w:rPr>
          <w:rFonts w:ascii="Segoe UI Symbol" w:hAnsi="Segoe UI Symbol"/>
          <w:b/>
          <w:lang w:val="es-PR" w:eastAsia="ja-JP"/>
        </w:rPr>
      </w:pPr>
      <w:r>
        <w:rPr>
          <w:rStyle w:val="FootnoteReference"/>
        </w:rPr>
        <w:footnoteRef/>
      </w:r>
      <w:r w:rsidRPr="009C1816">
        <w:rPr>
          <w:lang w:val="es-PR"/>
        </w:rPr>
        <w:t xml:space="preserve"> </w:t>
      </w:r>
      <w:r>
        <w:rPr>
          <w:lang w:val="es-PR"/>
        </w:rPr>
        <w:t xml:space="preserve">Véase la Publicación </w:t>
      </w:r>
      <w:r>
        <w:rPr>
          <w:b/>
          <w:lang w:val="es-PR"/>
        </w:rPr>
        <w:t xml:space="preserve">Guía sobre delizamientos de tierra para residentes de Puerto Rico, </w:t>
      </w:r>
      <w:r>
        <w:rPr>
          <w:b/>
          <w:i/>
          <w:lang w:val="es-PR"/>
        </w:rPr>
        <w:t>supra</w:t>
      </w:r>
      <w:r>
        <w:rPr>
          <w:lang w:val="es-PR"/>
        </w:rPr>
        <w:t xml:space="preserve">, en </w:t>
      </w:r>
      <w:r>
        <w:rPr>
          <w:b/>
          <w:lang w:val="es-PR"/>
        </w:rPr>
        <w:t>Ap., pág.</w:t>
      </w:r>
      <w:r w:rsidR="002613B7">
        <w:rPr>
          <w:b/>
          <w:lang w:val="es-PR"/>
        </w:rPr>
        <w:t xml:space="preserve"> 129</w:t>
      </w:r>
      <w:r>
        <w:rPr>
          <w:b/>
          <w:lang w:val="es-P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891" w:rsidRDefault="007C0891">
    <w:pPr>
      <w:pStyle w:val="Header"/>
      <w:rPr>
        <w:i/>
        <w:iCs/>
        <w:sz w:val="18"/>
        <w:lang w:val="es-ES_tradnl"/>
      </w:rPr>
    </w:pPr>
  </w:p>
  <w:p w:rsidR="007C0891" w:rsidRDefault="007C0891">
    <w:pPr>
      <w:pStyle w:val="Header"/>
      <w:rPr>
        <w:i/>
        <w:iCs/>
        <w:sz w:val="18"/>
        <w:lang w:val="es-ES_tradnl"/>
      </w:rPr>
    </w:pPr>
    <w:r>
      <w:rPr>
        <w:i/>
        <w:iCs/>
        <w:sz w:val="18"/>
        <w:lang w:val="es-ES_tradnl"/>
      </w:rPr>
      <w:t xml:space="preserve"> </w:t>
    </w:r>
  </w:p>
  <w:p w:rsidR="007C0891" w:rsidRDefault="007C0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A97"/>
    <w:multiLevelType w:val="hybridMultilevel"/>
    <w:tmpl w:val="43E05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5747E7"/>
    <w:multiLevelType w:val="hybridMultilevel"/>
    <w:tmpl w:val="9662D794"/>
    <w:lvl w:ilvl="0" w:tplc="04090019">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 w15:restartNumberingAfterBreak="0">
    <w:nsid w:val="0F2F1FF8"/>
    <w:multiLevelType w:val="multilevel"/>
    <w:tmpl w:val="076AEDD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5773280"/>
    <w:multiLevelType w:val="hybridMultilevel"/>
    <w:tmpl w:val="0E02CAF0"/>
    <w:lvl w:ilvl="0" w:tplc="D570AC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0217B"/>
    <w:multiLevelType w:val="hybridMultilevel"/>
    <w:tmpl w:val="DC5659A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5" w15:restartNumberingAfterBreak="0">
    <w:nsid w:val="173F09A4"/>
    <w:multiLevelType w:val="hybridMultilevel"/>
    <w:tmpl w:val="2BA482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43961"/>
    <w:multiLevelType w:val="hybridMultilevel"/>
    <w:tmpl w:val="64C8C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ED6AE4"/>
    <w:multiLevelType w:val="multilevel"/>
    <w:tmpl w:val="076AEDD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4C64B5"/>
    <w:multiLevelType w:val="hybridMultilevel"/>
    <w:tmpl w:val="763421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5F1025"/>
    <w:multiLevelType w:val="hybridMultilevel"/>
    <w:tmpl w:val="0ABABEE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5CC4B6B"/>
    <w:multiLevelType w:val="hybridMultilevel"/>
    <w:tmpl w:val="9662D794"/>
    <w:lvl w:ilvl="0" w:tplc="04090019">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1" w15:restartNumberingAfterBreak="0">
    <w:nsid w:val="293A54C0"/>
    <w:multiLevelType w:val="hybridMultilevel"/>
    <w:tmpl w:val="8F38E30A"/>
    <w:lvl w:ilvl="0" w:tplc="C46E585C">
      <w:start w:val="1"/>
      <w:numFmt w:val="decimal"/>
      <w:lvlText w:val="%1."/>
      <w:lvlJc w:val="left"/>
      <w:pPr>
        <w:ind w:left="1080" w:hanging="360"/>
      </w:pPr>
      <w:rPr>
        <w:b/>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 w15:restartNumberingAfterBreak="0">
    <w:nsid w:val="2AA71141"/>
    <w:multiLevelType w:val="hybridMultilevel"/>
    <w:tmpl w:val="26F4D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584743"/>
    <w:multiLevelType w:val="hybridMultilevel"/>
    <w:tmpl w:val="4A32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C1762"/>
    <w:multiLevelType w:val="hybridMultilevel"/>
    <w:tmpl w:val="9662D794"/>
    <w:lvl w:ilvl="0" w:tplc="04090019">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5" w15:restartNumberingAfterBreak="0">
    <w:nsid w:val="301B3265"/>
    <w:multiLevelType w:val="hybridMultilevel"/>
    <w:tmpl w:val="FF923A5A"/>
    <w:lvl w:ilvl="0" w:tplc="500A0001">
      <w:start w:val="1"/>
      <w:numFmt w:val="bullet"/>
      <w:lvlText w:val=""/>
      <w:lvlJc w:val="left"/>
      <w:pPr>
        <w:ind w:left="1943" w:hanging="360"/>
      </w:pPr>
      <w:rPr>
        <w:rFonts w:ascii="Symbol" w:hAnsi="Symbol" w:hint="default"/>
      </w:rPr>
    </w:lvl>
    <w:lvl w:ilvl="1" w:tplc="500A0003" w:tentative="1">
      <w:start w:val="1"/>
      <w:numFmt w:val="bullet"/>
      <w:lvlText w:val="o"/>
      <w:lvlJc w:val="left"/>
      <w:pPr>
        <w:ind w:left="2663" w:hanging="360"/>
      </w:pPr>
      <w:rPr>
        <w:rFonts w:ascii="Courier New" w:hAnsi="Courier New" w:cs="Courier New" w:hint="default"/>
      </w:rPr>
    </w:lvl>
    <w:lvl w:ilvl="2" w:tplc="500A0005" w:tentative="1">
      <w:start w:val="1"/>
      <w:numFmt w:val="bullet"/>
      <w:lvlText w:val=""/>
      <w:lvlJc w:val="left"/>
      <w:pPr>
        <w:ind w:left="3383" w:hanging="360"/>
      </w:pPr>
      <w:rPr>
        <w:rFonts w:ascii="Wingdings" w:hAnsi="Wingdings" w:hint="default"/>
      </w:rPr>
    </w:lvl>
    <w:lvl w:ilvl="3" w:tplc="500A0001" w:tentative="1">
      <w:start w:val="1"/>
      <w:numFmt w:val="bullet"/>
      <w:lvlText w:val=""/>
      <w:lvlJc w:val="left"/>
      <w:pPr>
        <w:ind w:left="4103" w:hanging="360"/>
      </w:pPr>
      <w:rPr>
        <w:rFonts w:ascii="Symbol" w:hAnsi="Symbol" w:hint="default"/>
      </w:rPr>
    </w:lvl>
    <w:lvl w:ilvl="4" w:tplc="500A0003" w:tentative="1">
      <w:start w:val="1"/>
      <w:numFmt w:val="bullet"/>
      <w:lvlText w:val="o"/>
      <w:lvlJc w:val="left"/>
      <w:pPr>
        <w:ind w:left="4823" w:hanging="360"/>
      </w:pPr>
      <w:rPr>
        <w:rFonts w:ascii="Courier New" w:hAnsi="Courier New" w:cs="Courier New" w:hint="default"/>
      </w:rPr>
    </w:lvl>
    <w:lvl w:ilvl="5" w:tplc="500A0005" w:tentative="1">
      <w:start w:val="1"/>
      <w:numFmt w:val="bullet"/>
      <w:lvlText w:val=""/>
      <w:lvlJc w:val="left"/>
      <w:pPr>
        <w:ind w:left="5543" w:hanging="360"/>
      </w:pPr>
      <w:rPr>
        <w:rFonts w:ascii="Wingdings" w:hAnsi="Wingdings" w:hint="default"/>
      </w:rPr>
    </w:lvl>
    <w:lvl w:ilvl="6" w:tplc="500A0001" w:tentative="1">
      <w:start w:val="1"/>
      <w:numFmt w:val="bullet"/>
      <w:lvlText w:val=""/>
      <w:lvlJc w:val="left"/>
      <w:pPr>
        <w:ind w:left="6263" w:hanging="360"/>
      </w:pPr>
      <w:rPr>
        <w:rFonts w:ascii="Symbol" w:hAnsi="Symbol" w:hint="default"/>
      </w:rPr>
    </w:lvl>
    <w:lvl w:ilvl="7" w:tplc="500A0003" w:tentative="1">
      <w:start w:val="1"/>
      <w:numFmt w:val="bullet"/>
      <w:lvlText w:val="o"/>
      <w:lvlJc w:val="left"/>
      <w:pPr>
        <w:ind w:left="6983" w:hanging="360"/>
      </w:pPr>
      <w:rPr>
        <w:rFonts w:ascii="Courier New" w:hAnsi="Courier New" w:cs="Courier New" w:hint="default"/>
      </w:rPr>
    </w:lvl>
    <w:lvl w:ilvl="8" w:tplc="500A0005" w:tentative="1">
      <w:start w:val="1"/>
      <w:numFmt w:val="bullet"/>
      <w:lvlText w:val=""/>
      <w:lvlJc w:val="left"/>
      <w:pPr>
        <w:ind w:left="7703" w:hanging="360"/>
      </w:pPr>
      <w:rPr>
        <w:rFonts w:ascii="Wingdings" w:hAnsi="Wingdings" w:hint="default"/>
      </w:rPr>
    </w:lvl>
  </w:abstractNum>
  <w:abstractNum w:abstractNumId="16" w15:restartNumberingAfterBreak="0">
    <w:nsid w:val="319D0251"/>
    <w:multiLevelType w:val="hybridMultilevel"/>
    <w:tmpl w:val="E000FB5C"/>
    <w:lvl w:ilvl="0" w:tplc="BAF874AA">
      <w:start w:val="1"/>
      <w:numFmt w:val="decimal"/>
      <w:lvlText w:val="%1."/>
      <w:lvlJc w:val="left"/>
      <w:pPr>
        <w:ind w:left="720" w:hanging="360"/>
      </w:pPr>
      <w:rPr>
        <w:b w:val="0"/>
        <w:sz w:val="24"/>
      </w:rPr>
    </w:lvl>
    <w:lvl w:ilvl="1" w:tplc="C3B0DDD4">
      <w:start w:val="1"/>
      <w:numFmt w:val="decimal"/>
      <w:lvlText w:val="(%2)"/>
      <w:lvlJc w:val="left"/>
      <w:pPr>
        <w:ind w:left="1545" w:hanging="465"/>
      </w:pPr>
      <w:rPr>
        <w:rFonts w:hint="default"/>
        <w:b/>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388631D8"/>
    <w:multiLevelType w:val="hybridMultilevel"/>
    <w:tmpl w:val="A880B03A"/>
    <w:lvl w:ilvl="0" w:tplc="41C22D7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C008B8"/>
    <w:multiLevelType w:val="hybridMultilevel"/>
    <w:tmpl w:val="6006194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BF038EF"/>
    <w:multiLevelType w:val="hybridMultilevel"/>
    <w:tmpl w:val="B8DA1A80"/>
    <w:lvl w:ilvl="0" w:tplc="5742180A">
      <w:start w:val="8"/>
      <w:numFmt w:val="upperRoman"/>
      <w:lvlText w:val="%1."/>
      <w:lvlJc w:val="righ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D490D"/>
    <w:multiLevelType w:val="hybridMultilevel"/>
    <w:tmpl w:val="9990A5B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A293D7D"/>
    <w:multiLevelType w:val="hybridMultilevel"/>
    <w:tmpl w:val="CF1CEB0A"/>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F25784"/>
    <w:multiLevelType w:val="hybridMultilevel"/>
    <w:tmpl w:val="EF82E3D4"/>
    <w:lvl w:ilvl="0" w:tplc="8BB4EC62">
      <w:start w:val="1"/>
      <w:numFmt w:val="decimal"/>
      <w:lvlText w:val="%1."/>
      <w:lvlJc w:val="left"/>
      <w:pPr>
        <w:tabs>
          <w:tab w:val="num" w:pos="1260"/>
        </w:tabs>
        <w:ind w:left="12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4395526"/>
    <w:multiLevelType w:val="hybridMultilevel"/>
    <w:tmpl w:val="9662D794"/>
    <w:lvl w:ilvl="0" w:tplc="04090019">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4" w15:restartNumberingAfterBreak="0">
    <w:nsid w:val="566A6FCB"/>
    <w:multiLevelType w:val="hybridMultilevel"/>
    <w:tmpl w:val="74C4F16E"/>
    <w:lvl w:ilvl="0" w:tplc="B4800F3A">
      <w:start w:val="1"/>
      <w:numFmt w:val="decimal"/>
      <w:lvlText w:val="%1."/>
      <w:lvlJc w:val="left"/>
      <w:pPr>
        <w:tabs>
          <w:tab w:val="num" w:pos="1080"/>
        </w:tabs>
        <w:ind w:left="1080" w:hanging="360"/>
      </w:pPr>
      <w:rPr>
        <w:rFonts w:ascii="Courier New" w:eastAsia="Times New Roman" w:hAnsi="Courier New" w:cs="Courier New"/>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671754E"/>
    <w:multiLevelType w:val="hybridMultilevel"/>
    <w:tmpl w:val="EE4A2A4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F687451"/>
    <w:multiLevelType w:val="hybridMultilevel"/>
    <w:tmpl w:val="BACCC258"/>
    <w:lvl w:ilvl="0" w:tplc="527A6E98">
      <w:start w:val="1"/>
      <w:numFmt w:val="decimal"/>
      <w:lvlText w:val="%1."/>
      <w:lvlJc w:val="left"/>
      <w:pPr>
        <w:tabs>
          <w:tab w:val="num" w:pos="1080"/>
        </w:tabs>
        <w:ind w:left="1080" w:hanging="360"/>
      </w:pPr>
      <w:rPr>
        <w:rFonts w:ascii="Courier New" w:eastAsia="Times New Roman" w:hAnsi="Courier New" w:cs="Courier New"/>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4073744"/>
    <w:multiLevelType w:val="hybridMultilevel"/>
    <w:tmpl w:val="3A8806B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5007B20"/>
    <w:multiLevelType w:val="hybridMultilevel"/>
    <w:tmpl w:val="ACAC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61F7A"/>
    <w:multiLevelType w:val="hybridMultilevel"/>
    <w:tmpl w:val="075461F8"/>
    <w:lvl w:ilvl="0" w:tplc="668214B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AE0D7B"/>
    <w:multiLevelType w:val="hybridMultilevel"/>
    <w:tmpl w:val="B73CF3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457361"/>
    <w:multiLevelType w:val="hybridMultilevel"/>
    <w:tmpl w:val="9662D794"/>
    <w:lvl w:ilvl="0" w:tplc="04090019">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2" w15:restartNumberingAfterBreak="0">
    <w:nsid w:val="6F4210BE"/>
    <w:multiLevelType w:val="hybridMultilevel"/>
    <w:tmpl w:val="7A28BC74"/>
    <w:lvl w:ilvl="0" w:tplc="35DEDA0A">
      <w:start w:val="1"/>
      <w:numFmt w:val="decimal"/>
      <w:lvlText w:val="%1."/>
      <w:lvlJc w:val="left"/>
      <w:pPr>
        <w:ind w:left="1440" w:hanging="360"/>
      </w:pPr>
      <w:rPr>
        <w:b w:val="0"/>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3" w15:restartNumberingAfterBreak="0">
    <w:nsid w:val="7D8A7210"/>
    <w:multiLevelType w:val="hybridMultilevel"/>
    <w:tmpl w:val="1F4E6792"/>
    <w:lvl w:ilvl="0" w:tplc="500A000F">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4" w15:restartNumberingAfterBreak="0">
    <w:nsid w:val="7F6640BF"/>
    <w:multiLevelType w:val="hybridMultilevel"/>
    <w:tmpl w:val="9662D794"/>
    <w:lvl w:ilvl="0" w:tplc="04090019">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num w:numId="1" w16cid:durableId="1743483238">
    <w:abstractNumId w:val="24"/>
  </w:num>
  <w:num w:numId="2" w16cid:durableId="766466675">
    <w:abstractNumId w:val="22"/>
  </w:num>
  <w:num w:numId="3" w16cid:durableId="1023946563">
    <w:abstractNumId w:val="2"/>
  </w:num>
  <w:num w:numId="4" w16cid:durableId="1269892770">
    <w:abstractNumId w:val="7"/>
  </w:num>
  <w:num w:numId="5" w16cid:durableId="345720156">
    <w:abstractNumId w:val="0"/>
  </w:num>
  <w:num w:numId="6" w16cid:durableId="248009829">
    <w:abstractNumId w:val="15"/>
  </w:num>
  <w:num w:numId="7" w16cid:durableId="1645817065">
    <w:abstractNumId w:val="26"/>
  </w:num>
  <w:num w:numId="8" w16cid:durableId="841969745">
    <w:abstractNumId w:val="33"/>
  </w:num>
  <w:num w:numId="9" w16cid:durableId="838352438">
    <w:abstractNumId w:val="11"/>
  </w:num>
  <w:num w:numId="10" w16cid:durableId="1599867576">
    <w:abstractNumId w:val="32"/>
  </w:num>
  <w:num w:numId="11" w16cid:durableId="1770544396">
    <w:abstractNumId w:val="16"/>
  </w:num>
  <w:num w:numId="12" w16cid:durableId="1841503878">
    <w:abstractNumId w:val="13"/>
  </w:num>
  <w:num w:numId="13" w16cid:durableId="1022509585">
    <w:abstractNumId w:val="12"/>
  </w:num>
  <w:num w:numId="14" w16cid:durableId="1237351910">
    <w:abstractNumId w:val="6"/>
  </w:num>
  <w:num w:numId="15" w16cid:durableId="925773867">
    <w:abstractNumId w:val="21"/>
  </w:num>
  <w:num w:numId="16" w16cid:durableId="784428822">
    <w:abstractNumId w:val="3"/>
  </w:num>
  <w:num w:numId="17" w16cid:durableId="2103648632">
    <w:abstractNumId w:val="14"/>
  </w:num>
  <w:num w:numId="18" w16cid:durableId="564073769">
    <w:abstractNumId w:val="31"/>
  </w:num>
  <w:num w:numId="19" w16cid:durableId="2039155144">
    <w:abstractNumId w:val="1"/>
  </w:num>
  <w:num w:numId="20" w16cid:durableId="1871183951">
    <w:abstractNumId w:val="34"/>
  </w:num>
  <w:num w:numId="21" w16cid:durableId="34040216">
    <w:abstractNumId w:val="23"/>
  </w:num>
  <w:num w:numId="22" w16cid:durableId="1106777234">
    <w:abstractNumId w:val="10"/>
  </w:num>
  <w:num w:numId="23" w16cid:durableId="1469785922">
    <w:abstractNumId w:val="29"/>
  </w:num>
  <w:num w:numId="24" w16cid:durableId="1365403093">
    <w:abstractNumId w:val="30"/>
  </w:num>
  <w:num w:numId="25" w16cid:durableId="1739085960">
    <w:abstractNumId w:val="9"/>
  </w:num>
  <w:num w:numId="26" w16cid:durableId="877663233">
    <w:abstractNumId w:val="27"/>
  </w:num>
  <w:num w:numId="27" w16cid:durableId="295184214">
    <w:abstractNumId w:val="20"/>
  </w:num>
  <w:num w:numId="28" w16cid:durableId="1498227726">
    <w:abstractNumId w:val="25"/>
  </w:num>
  <w:num w:numId="29" w16cid:durableId="1444693427">
    <w:abstractNumId w:val="18"/>
  </w:num>
  <w:num w:numId="30" w16cid:durableId="609821577">
    <w:abstractNumId w:val="5"/>
  </w:num>
  <w:num w:numId="31" w16cid:durableId="105928084">
    <w:abstractNumId w:val="19"/>
  </w:num>
  <w:num w:numId="32" w16cid:durableId="1477256479">
    <w:abstractNumId w:val="8"/>
  </w:num>
  <w:num w:numId="33" w16cid:durableId="1114905792">
    <w:abstractNumId w:val="28"/>
  </w:num>
  <w:num w:numId="34" w16cid:durableId="942304508">
    <w:abstractNumId w:val="17"/>
  </w:num>
  <w:num w:numId="35" w16cid:durableId="1002124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2A"/>
    <w:rsid w:val="00000427"/>
    <w:rsid w:val="000007E5"/>
    <w:rsid w:val="00000DA5"/>
    <w:rsid w:val="00001387"/>
    <w:rsid w:val="00001A2C"/>
    <w:rsid w:val="000056DC"/>
    <w:rsid w:val="0001140B"/>
    <w:rsid w:val="000117B3"/>
    <w:rsid w:val="00012715"/>
    <w:rsid w:val="00012AE2"/>
    <w:rsid w:val="00014DB6"/>
    <w:rsid w:val="00023006"/>
    <w:rsid w:val="00023DB2"/>
    <w:rsid w:val="00025E29"/>
    <w:rsid w:val="00026EF0"/>
    <w:rsid w:val="000275C5"/>
    <w:rsid w:val="00027BFE"/>
    <w:rsid w:val="00033567"/>
    <w:rsid w:val="000336D8"/>
    <w:rsid w:val="000378AD"/>
    <w:rsid w:val="000445D5"/>
    <w:rsid w:val="00044A4A"/>
    <w:rsid w:val="00046781"/>
    <w:rsid w:val="000475D4"/>
    <w:rsid w:val="000520EE"/>
    <w:rsid w:val="00052303"/>
    <w:rsid w:val="000535B7"/>
    <w:rsid w:val="00053767"/>
    <w:rsid w:val="00053805"/>
    <w:rsid w:val="00054528"/>
    <w:rsid w:val="00056E36"/>
    <w:rsid w:val="00060D9A"/>
    <w:rsid w:val="00061BF9"/>
    <w:rsid w:val="00064806"/>
    <w:rsid w:val="00064BD5"/>
    <w:rsid w:val="00066623"/>
    <w:rsid w:val="00076DFC"/>
    <w:rsid w:val="00077519"/>
    <w:rsid w:val="00080486"/>
    <w:rsid w:val="00080ADF"/>
    <w:rsid w:val="00081061"/>
    <w:rsid w:val="0008203A"/>
    <w:rsid w:val="00084B55"/>
    <w:rsid w:val="00086649"/>
    <w:rsid w:val="00086EE4"/>
    <w:rsid w:val="00087D5D"/>
    <w:rsid w:val="00087DD1"/>
    <w:rsid w:val="000906F5"/>
    <w:rsid w:val="00090E21"/>
    <w:rsid w:val="0009160C"/>
    <w:rsid w:val="00092178"/>
    <w:rsid w:val="00092546"/>
    <w:rsid w:val="00094BAD"/>
    <w:rsid w:val="000A0218"/>
    <w:rsid w:val="000A2B7C"/>
    <w:rsid w:val="000A2F7B"/>
    <w:rsid w:val="000A5C2A"/>
    <w:rsid w:val="000B2849"/>
    <w:rsid w:val="000B2F93"/>
    <w:rsid w:val="000B6893"/>
    <w:rsid w:val="000C0289"/>
    <w:rsid w:val="000C4EF7"/>
    <w:rsid w:val="000C5254"/>
    <w:rsid w:val="000D3994"/>
    <w:rsid w:val="000D686F"/>
    <w:rsid w:val="000E0A83"/>
    <w:rsid w:val="000E10C6"/>
    <w:rsid w:val="000E124D"/>
    <w:rsid w:val="000E2603"/>
    <w:rsid w:val="000E3D8E"/>
    <w:rsid w:val="000E598D"/>
    <w:rsid w:val="000E5BF7"/>
    <w:rsid w:val="000E653D"/>
    <w:rsid w:val="000E67C3"/>
    <w:rsid w:val="000E7F42"/>
    <w:rsid w:val="000F1EBB"/>
    <w:rsid w:val="000F27EC"/>
    <w:rsid w:val="000F2C75"/>
    <w:rsid w:val="000F35C3"/>
    <w:rsid w:val="000F4161"/>
    <w:rsid w:val="000F7BD3"/>
    <w:rsid w:val="00100FC5"/>
    <w:rsid w:val="001017CD"/>
    <w:rsid w:val="001047C7"/>
    <w:rsid w:val="00104FE9"/>
    <w:rsid w:val="0011400B"/>
    <w:rsid w:val="00114EF0"/>
    <w:rsid w:val="00115FEF"/>
    <w:rsid w:val="00122C72"/>
    <w:rsid w:val="00123BCE"/>
    <w:rsid w:val="00125564"/>
    <w:rsid w:val="001255FD"/>
    <w:rsid w:val="00126927"/>
    <w:rsid w:val="00131CF2"/>
    <w:rsid w:val="00132373"/>
    <w:rsid w:val="0013323D"/>
    <w:rsid w:val="00135686"/>
    <w:rsid w:val="00136545"/>
    <w:rsid w:val="001379E7"/>
    <w:rsid w:val="0014081D"/>
    <w:rsid w:val="00142A48"/>
    <w:rsid w:val="00142FCB"/>
    <w:rsid w:val="0015118D"/>
    <w:rsid w:val="00151819"/>
    <w:rsid w:val="00151A44"/>
    <w:rsid w:val="00155BEF"/>
    <w:rsid w:val="001560B6"/>
    <w:rsid w:val="00163BF0"/>
    <w:rsid w:val="00171046"/>
    <w:rsid w:val="00171C1B"/>
    <w:rsid w:val="001736A8"/>
    <w:rsid w:val="001745E0"/>
    <w:rsid w:val="00174A02"/>
    <w:rsid w:val="00174D11"/>
    <w:rsid w:val="001753F5"/>
    <w:rsid w:val="0017598F"/>
    <w:rsid w:val="00175EE0"/>
    <w:rsid w:val="0018236E"/>
    <w:rsid w:val="00182CB1"/>
    <w:rsid w:val="00184E26"/>
    <w:rsid w:val="00185319"/>
    <w:rsid w:val="001902C5"/>
    <w:rsid w:val="001917EF"/>
    <w:rsid w:val="00193311"/>
    <w:rsid w:val="001951A2"/>
    <w:rsid w:val="001A09C2"/>
    <w:rsid w:val="001A5493"/>
    <w:rsid w:val="001B1EA9"/>
    <w:rsid w:val="001B27B1"/>
    <w:rsid w:val="001B664B"/>
    <w:rsid w:val="001B7633"/>
    <w:rsid w:val="001C10BF"/>
    <w:rsid w:val="001C52E4"/>
    <w:rsid w:val="001C625C"/>
    <w:rsid w:val="001D29B7"/>
    <w:rsid w:val="001D2BBD"/>
    <w:rsid w:val="001D2D3E"/>
    <w:rsid w:val="001D61BA"/>
    <w:rsid w:val="001E38DD"/>
    <w:rsid w:val="001E5C20"/>
    <w:rsid w:val="001E6788"/>
    <w:rsid w:val="001F17A3"/>
    <w:rsid w:val="001F2A69"/>
    <w:rsid w:val="001F5A49"/>
    <w:rsid w:val="001F5C3A"/>
    <w:rsid w:val="001F7450"/>
    <w:rsid w:val="001F792E"/>
    <w:rsid w:val="00200160"/>
    <w:rsid w:val="00200D17"/>
    <w:rsid w:val="00203AC2"/>
    <w:rsid w:val="00203B73"/>
    <w:rsid w:val="00204225"/>
    <w:rsid w:val="002047AE"/>
    <w:rsid w:val="00204A78"/>
    <w:rsid w:val="00206091"/>
    <w:rsid w:val="002065CE"/>
    <w:rsid w:val="00207793"/>
    <w:rsid w:val="00210DA7"/>
    <w:rsid w:val="0021172D"/>
    <w:rsid w:val="00213070"/>
    <w:rsid w:val="00216C0C"/>
    <w:rsid w:val="00217923"/>
    <w:rsid w:val="00220090"/>
    <w:rsid w:val="002223C6"/>
    <w:rsid w:val="00226E5D"/>
    <w:rsid w:val="00230371"/>
    <w:rsid w:val="002319DD"/>
    <w:rsid w:val="00233EEC"/>
    <w:rsid w:val="00234B91"/>
    <w:rsid w:val="00235CFE"/>
    <w:rsid w:val="00236402"/>
    <w:rsid w:val="00240185"/>
    <w:rsid w:val="00242C64"/>
    <w:rsid w:val="002440AF"/>
    <w:rsid w:val="0024428D"/>
    <w:rsid w:val="002444AA"/>
    <w:rsid w:val="002452AF"/>
    <w:rsid w:val="0024543D"/>
    <w:rsid w:val="002456A9"/>
    <w:rsid w:val="00250752"/>
    <w:rsid w:val="002514C1"/>
    <w:rsid w:val="00252A85"/>
    <w:rsid w:val="00253B56"/>
    <w:rsid w:val="00253F22"/>
    <w:rsid w:val="002547F2"/>
    <w:rsid w:val="0025714D"/>
    <w:rsid w:val="002613B7"/>
    <w:rsid w:val="0026164D"/>
    <w:rsid w:val="00261D24"/>
    <w:rsid w:val="00263B41"/>
    <w:rsid w:val="00267F1F"/>
    <w:rsid w:val="00274C84"/>
    <w:rsid w:val="00277E56"/>
    <w:rsid w:val="002816DE"/>
    <w:rsid w:val="002876AA"/>
    <w:rsid w:val="002919BB"/>
    <w:rsid w:val="00291CFC"/>
    <w:rsid w:val="00296131"/>
    <w:rsid w:val="002A0282"/>
    <w:rsid w:val="002A064F"/>
    <w:rsid w:val="002A425B"/>
    <w:rsid w:val="002A472A"/>
    <w:rsid w:val="002A6A25"/>
    <w:rsid w:val="002A6C35"/>
    <w:rsid w:val="002B06D2"/>
    <w:rsid w:val="002B26D3"/>
    <w:rsid w:val="002C1402"/>
    <w:rsid w:val="002C1A3D"/>
    <w:rsid w:val="002C2C2A"/>
    <w:rsid w:val="002C35B0"/>
    <w:rsid w:val="002C4274"/>
    <w:rsid w:val="002C67B9"/>
    <w:rsid w:val="002C7CC4"/>
    <w:rsid w:val="002D53C5"/>
    <w:rsid w:val="002D6F4C"/>
    <w:rsid w:val="002D7B19"/>
    <w:rsid w:val="002E4456"/>
    <w:rsid w:val="002E54EA"/>
    <w:rsid w:val="002E62D9"/>
    <w:rsid w:val="002F08D3"/>
    <w:rsid w:val="002F183D"/>
    <w:rsid w:val="002F30A4"/>
    <w:rsid w:val="002F3ACE"/>
    <w:rsid w:val="002F4DC7"/>
    <w:rsid w:val="002F4F25"/>
    <w:rsid w:val="002F58C6"/>
    <w:rsid w:val="002F5C8D"/>
    <w:rsid w:val="002F730E"/>
    <w:rsid w:val="003051F1"/>
    <w:rsid w:val="00305AF8"/>
    <w:rsid w:val="0030606D"/>
    <w:rsid w:val="003067FB"/>
    <w:rsid w:val="00310952"/>
    <w:rsid w:val="003136BF"/>
    <w:rsid w:val="003139A7"/>
    <w:rsid w:val="003139AA"/>
    <w:rsid w:val="00315012"/>
    <w:rsid w:val="00315E95"/>
    <w:rsid w:val="003161EB"/>
    <w:rsid w:val="00316BC6"/>
    <w:rsid w:val="00317153"/>
    <w:rsid w:val="003171FB"/>
    <w:rsid w:val="00322857"/>
    <w:rsid w:val="00322D90"/>
    <w:rsid w:val="00325621"/>
    <w:rsid w:val="00333E62"/>
    <w:rsid w:val="003341BC"/>
    <w:rsid w:val="00334411"/>
    <w:rsid w:val="0034135E"/>
    <w:rsid w:val="00341752"/>
    <w:rsid w:val="003421B4"/>
    <w:rsid w:val="00343DB0"/>
    <w:rsid w:val="00344C76"/>
    <w:rsid w:val="00345432"/>
    <w:rsid w:val="00350B80"/>
    <w:rsid w:val="00351ADA"/>
    <w:rsid w:val="003538F2"/>
    <w:rsid w:val="00355B13"/>
    <w:rsid w:val="00365914"/>
    <w:rsid w:val="00366259"/>
    <w:rsid w:val="0037374D"/>
    <w:rsid w:val="0037460D"/>
    <w:rsid w:val="003758F6"/>
    <w:rsid w:val="0037797C"/>
    <w:rsid w:val="00380B1C"/>
    <w:rsid w:val="003870E8"/>
    <w:rsid w:val="003926EA"/>
    <w:rsid w:val="00393F51"/>
    <w:rsid w:val="003A1A32"/>
    <w:rsid w:val="003A347E"/>
    <w:rsid w:val="003A45DF"/>
    <w:rsid w:val="003B1FD4"/>
    <w:rsid w:val="003B3959"/>
    <w:rsid w:val="003B4A5D"/>
    <w:rsid w:val="003B6733"/>
    <w:rsid w:val="003B68C0"/>
    <w:rsid w:val="003C0747"/>
    <w:rsid w:val="003C0D35"/>
    <w:rsid w:val="003C0FE7"/>
    <w:rsid w:val="003C2119"/>
    <w:rsid w:val="003C2648"/>
    <w:rsid w:val="003C3AAD"/>
    <w:rsid w:val="003C6E3B"/>
    <w:rsid w:val="003D0538"/>
    <w:rsid w:val="003D356D"/>
    <w:rsid w:val="003D7410"/>
    <w:rsid w:val="003D7525"/>
    <w:rsid w:val="003E2A56"/>
    <w:rsid w:val="003E3A5D"/>
    <w:rsid w:val="003E7EE6"/>
    <w:rsid w:val="003F0962"/>
    <w:rsid w:val="003F097B"/>
    <w:rsid w:val="003F365F"/>
    <w:rsid w:val="003F3CD9"/>
    <w:rsid w:val="003F4BB2"/>
    <w:rsid w:val="003F5457"/>
    <w:rsid w:val="003F68CD"/>
    <w:rsid w:val="003F7348"/>
    <w:rsid w:val="003F7D36"/>
    <w:rsid w:val="00401C57"/>
    <w:rsid w:val="00402F9F"/>
    <w:rsid w:val="00403D0B"/>
    <w:rsid w:val="0040457E"/>
    <w:rsid w:val="0040731C"/>
    <w:rsid w:val="00407AE9"/>
    <w:rsid w:val="00414F36"/>
    <w:rsid w:val="004154F6"/>
    <w:rsid w:val="004168E7"/>
    <w:rsid w:val="004170F8"/>
    <w:rsid w:val="004200EA"/>
    <w:rsid w:val="00421155"/>
    <w:rsid w:val="00422E96"/>
    <w:rsid w:val="00423495"/>
    <w:rsid w:val="0042406E"/>
    <w:rsid w:val="00424AD8"/>
    <w:rsid w:val="004251FE"/>
    <w:rsid w:val="004274EF"/>
    <w:rsid w:val="00427915"/>
    <w:rsid w:val="00427DED"/>
    <w:rsid w:val="00431A11"/>
    <w:rsid w:val="00431E1F"/>
    <w:rsid w:val="0043240C"/>
    <w:rsid w:val="00435348"/>
    <w:rsid w:val="00437E25"/>
    <w:rsid w:val="00446090"/>
    <w:rsid w:val="004462D9"/>
    <w:rsid w:val="00454C77"/>
    <w:rsid w:val="004600E7"/>
    <w:rsid w:val="0046058B"/>
    <w:rsid w:val="004627F8"/>
    <w:rsid w:val="0046307B"/>
    <w:rsid w:val="004633D7"/>
    <w:rsid w:val="00463B44"/>
    <w:rsid w:val="00466613"/>
    <w:rsid w:val="00467E40"/>
    <w:rsid w:val="00472965"/>
    <w:rsid w:val="00472CA5"/>
    <w:rsid w:val="00473F05"/>
    <w:rsid w:val="00476E97"/>
    <w:rsid w:val="00477E9A"/>
    <w:rsid w:val="00482A30"/>
    <w:rsid w:val="00483352"/>
    <w:rsid w:val="004865EE"/>
    <w:rsid w:val="00487835"/>
    <w:rsid w:val="0049097A"/>
    <w:rsid w:val="004971D4"/>
    <w:rsid w:val="00497672"/>
    <w:rsid w:val="004A02E9"/>
    <w:rsid w:val="004A4083"/>
    <w:rsid w:val="004A52AD"/>
    <w:rsid w:val="004A65D7"/>
    <w:rsid w:val="004A6931"/>
    <w:rsid w:val="004A7020"/>
    <w:rsid w:val="004B2F9E"/>
    <w:rsid w:val="004B3BB1"/>
    <w:rsid w:val="004B764B"/>
    <w:rsid w:val="004C172D"/>
    <w:rsid w:val="004C23E8"/>
    <w:rsid w:val="004C51D6"/>
    <w:rsid w:val="004C6ED6"/>
    <w:rsid w:val="004D0DB3"/>
    <w:rsid w:val="004D18EB"/>
    <w:rsid w:val="004D1C5B"/>
    <w:rsid w:val="004D4720"/>
    <w:rsid w:val="004D48B9"/>
    <w:rsid w:val="004D57B9"/>
    <w:rsid w:val="004E0ACC"/>
    <w:rsid w:val="004E2539"/>
    <w:rsid w:val="004E439E"/>
    <w:rsid w:val="004F0EE2"/>
    <w:rsid w:val="00502B6E"/>
    <w:rsid w:val="005037C7"/>
    <w:rsid w:val="00504A9B"/>
    <w:rsid w:val="00507C75"/>
    <w:rsid w:val="00511C44"/>
    <w:rsid w:val="00511ECE"/>
    <w:rsid w:val="00512B44"/>
    <w:rsid w:val="00523210"/>
    <w:rsid w:val="005258DD"/>
    <w:rsid w:val="00530C3A"/>
    <w:rsid w:val="005321E3"/>
    <w:rsid w:val="005331FB"/>
    <w:rsid w:val="005368AD"/>
    <w:rsid w:val="005413E3"/>
    <w:rsid w:val="005443BB"/>
    <w:rsid w:val="00544456"/>
    <w:rsid w:val="00551949"/>
    <w:rsid w:val="00551D6A"/>
    <w:rsid w:val="00554412"/>
    <w:rsid w:val="00555773"/>
    <w:rsid w:val="00555E82"/>
    <w:rsid w:val="00560613"/>
    <w:rsid w:val="00561B3A"/>
    <w:rsid w:val="005632FE"/>
    <w:rsid w:val="00567426"/>
    <w:rsid w:val="00572E03"/>
    <w:rsid w:val="005766F5"/>
    <w:rsid w:val="00580A60"/>
    <w:rsid w:val="00582D8B"/>
    <w:rsid w:val="005835D4"/>
    <w:rsid w:val="005838A5"/>
    <w:rsid w:val="00586408"/>
    <w:rsid w:val="00592A0E"/>
    <w:rsid w:val="00592D14"/>
    <w:rsid w:val="00592E2D"/>
    <w:rsid w:val="00593F38"/>
    <w:rsid w:val="00596802"/>
    <w:rsid w:val="005A1808"/>
    <w:rsid w:val="005A2688"/>
    <w:rsid w:val="005A4F5A"/>
    <w:rsid w:val="005A6EDB"/>
    <w:rsid w:val="005A6F00"/>
    <w:rsid w:val="005B0034"/>
    <w:rsid w:val="005B0337"/>
    <w:rsid w:val="005B2E2C"/>
    <w:rsid w:val="005B352F"/>
    <w:rsid w:val="005C2D65"/>
    <w:rsid w:val="005C73D4"/>
    <w:rsid w:val="005D02C7"/>
    <w:rsid w:val="005D1379"/>
    <w:rsid w:val="005D2396"/>
    <w:rsid w:val="005D68CE"/>
    <w:rsid w:val="005E4ACF"/>
    <w:rsid w:val="005E57F7"/>
    <w:rsid w:val="005E76CA"/>
    <w:rsid w:val="005E7B05"/>
    <w:rsid w:val="005F2F6C"/>
    <w:rsid w:val="005F3589"/>
    <w:rsid w:val="005F36A2"/>
    <w:rsid w:val="005F4367"/>
    <w:rsid w:val="005F44A5"/>
    <w:rsid w:val="005F6F9A"/>
    <w:rsid w:val="00600C55"/>
    <w:rsid w:val="006011A2"/>
    <w:rsid w:val="00605CCE"/>
    <w:rsid w:val="006074F3"/>
    <w:rsid w:val="00611B10"/>
    <w:rsid w:val="00612559"/>
    <w:rsid w:val="006205AC"/>
    <w:rsid w:val="0062082C"/>
    <w:rsid w:val="0062116E"/>
    <w:rsid w:val="006215AC"/>
    <w:rsid w:val="006223F3"/>
    <w:rsid w:val="006236F6"/>
    <w:rsid w:val="00627123"/>
    <w:rsid w:val="00627AFF"/>
    <w:rsid w:val="00627F44"/>
    <w:rsid w:val="00633FEA"/>
    <w:rsid w:val="00635B9F"/>
    <w:rsid w:val="00637DA5"/>
    <w:rsid w:val="0064724D"/>
    <w:rsid w:val="00654E44"/>
    <w:rsid w:val="006557ED"/>
    <w:rsid w:val="006560AE"/>
    <w:rsid w:val="00662611"/>
    <w:rsid w:val="0066367A"/>
    <w:rsid w:val="00664D31"/>
    <w:rsid w:val="00664DC0"/>
    <w:rsid w:val="0066712E"/>
    <w:rsid w:val="00667396"/>
    <w:rsid w:val="00672E91"/>
    <w:rsid w:val="00673322"/>
    <w:rsid w:val="0067338A"/>
    <w:rsid w:val="006757EF"/>
    <w:rsid w:val="00677C37"/>
    <w:rsid w:val="006872E1"/>
    <w:rsid w:val="00692C9B"/>
    <w:rsid w:val="00694334"/>
    <w:rsid w:val="00695933"/>
    <w:rsid w:val="0069707C"/>
    <w:rsid w:val="0069739E"/>
    <w:rsid w:val="006A0DD2"/>
    <w:rsid w:val="006A2E13"/>
    <w:rsid w:val="006A6634"/>
    <w:rsid w:val="006A7420"/>
    <w:rsid w:val="006A7B96"/>
    <w:rsid w:val="006B0318"/>
    <w:rsid w:val="006B257B"/>
    <w:rsid w:val="006B7568"/>
    <w:rsid w:val="006C0737"/>
    <w:rsid w:val="006C32A5"/>
    <w:rsid w:val="006C4BE6"/>
    <w:rsid w:val="006C6226"/>
    <w:rsid w:val="006C6994"/>
    <w:rsid w:val="006D0021"/>
    <w:rsid w:val="006D21B2"/>
    <w:rsid w:val="006D3B1D"/>
    <w:rsid w:val="006D3EAF"/>
    <w:rsid w:val="006D630C"/>
    <w:rsid w:val="006D797C"/>
    <w:rsid w:val="006E19FF"/>
    <w:rsid w:val="006E36E2"/>
    <w:rsid w:val="006E55C1"/>
    <w:rsid w:val="006F6245"/>
    <w:rsid w:val="006F6BBF"/>
    <w:rsid w:val="006F7FB9"/>
    <w:rsid w:val="00701823"/>
    <w:rsid w:val="00701D49"/>
    <w:rsid w:val="0070571E"/>
    <w:rsid w:val="007057B9"/>
    <w:rsid w:val="00707D30"/>
    <w:rsid w:val="007127E1"/>
    <w:rsid w:val="00715FEB"/>
    <w:rsid w:val="00716343"/>
    <w:rsid w:val="00717862"/>
    <w:rsid w:val="00722293"/>
    <w:rsid w:val="007222D3"/>
    <w:rsid w:val="00724C0E"/>
    <w:rsid w:val="00727CD9"/>
    <w:rsid w:val="007348DD"/>
    <w:rsid w:val="00735C8D"/>
    <w:rsid w:val="00737251"/>
    <w:rsid w:val="0074028A"/>
    <w:rsid w:val="00742DD2"/>
    <w:rsid w:val="00743F76"/>
    <w:rsid w:val="00745D0B"/>
    <w:rsid w:val="00747134"/>
    <w:rsid w:val="007473F7"/>
    <w:rsid w:val="00751903"/>
    <w:rsid w:val="0075272E"/>
    <w:rsid w:val="007550CB"/>
    <w:rsid w:val="00755716"/>
    <w:rsid w:val="00755897"/>
    <w:rsid w:val="007611C8"/>
    <w:rsid w:val="00761504"/>
    <w:rsid w:val="0076199F"/>
    <w:rsid w:val="00761C69"/>
    <w:rsid w:val="007630E4"/>
    <w:rsid w:val="00764DB7"/>
    <w:rsid w:val="007700A5"/>
    <w:rsid w:val="00770A45"/>
    <w:rsid w:val="00770FBF"/>
    <w:rsid w:val="00781545"/>
    <w:rsid w:val="00781FEC"/>
    <w:rsid w:val="007828D6"/>
    <w:rsid w:val="00784594"/>
    <w:rsid w:val="00786756"/>
    <w:rsid w:val="00790BE4"/>
    <w:rsid w:val="00791A4E"/>
    <w:rsid w:val="00791DB6"/>
    <w:rsid w:val="007959C1"/>
    <w:rsid w:val="00795E3B"/>
    <w:rsid w:val="007976C9"/>
    <w:rsid w:val="007A0D1A"/>
    <w:rsid w:val="007A3237"/>
    <w:rsid w:val="007A5042"/>
    <w:rsid w:val="007A7009"/>
    <w:rsid w:val="007A728E"/>
    <w:rsid w:val="007A7DC8"/>
    <w:rsid w:val="007B0183"/>
    <w:rsid w:val="007B0C98"/>
    <w:rsid w:val="007B12E2"/>
    <w:rsid w:val="007B2631"/>
    <w:rsid w:val="007B5995"/>
    <w:rsid w:val="007B6940"/>
    <w:rsid w:val="007C0891"/>
    <w:rsid w:val="007C3D99"/>
    <w:rsid w:val="007C59D3"/>
    <w:rsid w:val="007D033C"/>
    <w:rsid w:val="007D104C"/>
    <w:rsid w:val="007D2ECB"/>
    <w:rsid w:val="007D3323"/>
    <w:rsid w:val="007D5481"/>
    <w:rsid w:val="007E00BA"/>
    <w:rsid w:val="007E089F"/>
    <w:rsid w:val="007E295D"/>
    <w:rsid w:val="007E4B4D"/>
    <w:rsid w:val="007E509F"/>
    <w:rsid w:val="007E58E5"/>
    <w:rsid w:val="007F3104"/>
    <w:rsid w:val="007F3506"/>
    <w:rsid w:val="007F4CA0"/>
    <w:rsid w:val="007F6D26"/>
    <w:rsid w:val="00802796"/>
    <w:rsid w:val="00803015"/>
    <w:rsid w:val="00803F86"/>
    <w:rsid w:val="00804A4F"/>
    <w:rsid w:val="00805FD3"/>
    <w:rsid w:val="008067F2"/>
    <w:rsid w:val="00814B1C"/>
    <w:rsid w:val="00815358"/>
    <w:rsid w:val="0081685D"/>
    <w:rsid w:val="008218BF"/>
    <w:rsid w:val="008235FA"/>
    <w:rsid w:val="00835D9E"/>
    <w:rsid w:val="008360B7"/>
    <w:rsid w:val="008437E2"/>
    <w:rsid w:val="008441AB"/>
    <w:rsid w:val="00844AD1"/>
    <w:rsid w:val="00845061"/>
    <w:rsid w:val="00852BE6"/>
    <w:rsid w:val="008531F9"/>
    <w:rsid w:val="008538DC"/>
    <w:rsid w:val="00854547"/>
    <w:rsid w:val="00855147"/>
    <w:rsid w:val="00856044"/>
    <w:rsid w:val="0085746B"/>
    <w:rsid w:val="00867D18"/>
    <w:rsid w:val="0087160F"/>
    <w:rsid w:val="00871C72"/>
    <w:rsid w:val="00872E62"/>
    <w:rsid w:val="00875EE3"/>
    <w:rsid w:val="00877644"/>
    <w:rsid w:val="00880B4C"/>
    <w:rsid w:val="008863D5"/>
    <w:rsid w:val="008879DE"/>
    <w:rsid w:val="00891114"/>
    <w:rsid w:val="00892EDD"/>
    <w:rsid w:val="00894EE1"/>
    <w:rsid w:val="008A4939"/>
    <w:rsid w:val="008A5A95"/>
    <w:rsid w:val="008A5FF5"/>
    <w:rsid w:val="008B1D9D"/>
    <w:rsid w:val="008B33B2"/>
    <w:rsid w:val="008B5FEF"/>
    <w:rsid w:val="008C2B18"/>
    <w:rsid w:val="008C3CD4"/>
    <w:rsid w:val="008C3FED"/>
    <w:rsid w:val="008C64A2"/>
    <w:rsid w:val="008C70F7"/>
    <w:rsid w:val="008C77E1"/>
    <w:rsid w:val="008D23B4"/>
    <w:rsid w:val="008D3157"/>
    <w:rsid w:val="008D344E"/>
    <w:rsid w:val="008E0743"/>
    <w:rsid w:val="008E11EB"/>
    <w:rsid w:val="008E135A"/>
    <w:rsid w:val="008E3B8C"/>
    <w:rsid w:val="008F26E6"/>
    <w:rsid w:val="008F5860"/>
    <w:rsid w:val="008F6C26"/>
    <w:rsid w:val="009022F7"/>
    <w:rsid w:val="0091152E"/>
    <w:rsid w:val="00917399"/>
    <w:rsid w:val="00920458"/>
    <w:rsid w:val="00937344"/>
    <w:rsid w:val="00937A3F"/>
    <w:rsid w:val="0094584B"/>
    <w:rsid w:val="00952D2C"/>
    <w:rsid w:val="00955F97"/>
    <w:rsid w:val="00956A8E"/>
    <w:rsid w:val="00962D90"/>
    <w:rsid w:val="00966A2A"/>
    <w:rsid w:val="00966B27"/>
    <w:rsid w:val="009676E0"/>
    <w:rsid w:val="00970639"/>
    <w:rsid w:val="00970FEE"/>
    <w:rsid w:val="00974013"/>
    <w:rsid w:val="00976BB7"/>
    <w:rsid w:val="00976C0B"/>
    <w:rsid w:val="00981932"/>
    <w:rsid w:val="00985DB5"/>
    <w:rsid w:val="00986353"/>
    <w:rsid w:val="00986CBF"/>
    <w:rsid w:val="0098721C"/>
    <w:rsid w:val="009876F9"/>
    <w:rsid w:val="00990AE4"/>
    <w:rsid w:val="0099577A"/>
    <w:rsid w:val="0099745F"/>
    <w:rsid w:val="009A6C3F"/>
    <w:rsid w:val="009B130C"/>
    <w:rsid w:val="009B4CCF"/>
    <w:rsid w:val="009C0847"/>
    <w:rsid w:val="009C0F19"/>
    <w:rsid w:val="009C333B"/>
    <w:rsid w:val="009C5D1D"/>
    <w:rsid w:val="009C631D"/>
    <w:rsid w:val="009C661F"/>
    <w:rsid w:val="009D039C"/>
    <w:rsid w:val="009D3712"/>
    <w:rsid w:val="009D3A93"/>
    <w:rsid w:val="009E577E"/>
    <w:rsid w:val="009F2AE7"/>
    <w:rsid w:val="00A02E77"/>
    <w:rsid w:val="00A06825"/>
    <w:rsid w:val="00A06E15"/>
    <w:rsid w:val="00A1206B"/>
    <w:rsid w:val="00A12185"/>
    <w:rsid w:val="00A134FC"/>
    <w:rsid w:val="00A13669"/>
    <w:rsid w:val="00A15704"/>
    <w:rsid w:val="00A21FF3"/>
    <w:rsid w:val="00A228FF"/>
    <w:rsid w:val="00A24F79"/>
    <w:rsid w:val="00A264CB"/>
    <w:rsid w:val="00A26B61"/>
    <w:rsid w:val="00A304CA"/>
    <w:rsid w:val="00A361EA"/>
    <w:rsid w:val="00A37464"/>
    <w:rsid w:val="00A37EDD"/>
    <w:rsid w:val="00A46BF0"/>
    <w:rsid w:val="00A46CAC"/>
    <w:rsid w:val="00A50889"/>
    <w:rsid w:val="00A5332A"/>
    <w:rsid w:val="00A56356"/>
    <w:rsid w:val="00A56D1F"/>
    <w:rsid w:val="00A578AD"/>
    <w:rsid w:val="00A601E6"/>
    <w:rsid w:val="00A63B34"/>
    <w:rsid w:val="00A641D4"/>
    <w:rsid w:val="00A855AC"/>
    <w:rsid w:val="00A86365"/>
    <w:rsid w:val="00A873F7"/>
    <w:rsid w:val="00A87488"/>
    <w:rsid w:val="00A91788"/>
    <w:rsid w:val="00A923F7"/>
    <w:rsid w:val="00A92796"/>
    <w:rsid w:val="00A92B76"/>
    <w:rsid w:val="00A939FC"/>
    <w:rsid w:val="00A954FB"/>
    <w:rsid w:val="00A960F7"/>
    <w:rsid w:val="00A97FA6"/>
    <w:rsid w:val="00AA0261"/>
    <w:rsid w:val="00AA05EA"/>
    <w:rsid w:val="00AA14CA"/>
    <w:rsid w:val="00AA2602"/>
    <w:rsid w:val="00AA7DC8"/>
    <w:rsid w:val="00AB166C"/>
    <w:rsid w:val="00AB1705"/>
    <w:rsid w:val="00AB4379"/>
    <w:rsid w:val="00AC0954"/>
    <w:rsid w:val="00AC1384"/>
    <w:rsid w:val="00AC6FB9"/>
    <w:rsid w:val="00AD0009"/>
    <w:rsid w:val="00AD0E71"/>
    <w:rsid w:val="00AD0FD8"/>
    <w:rsid w:val="00AD177A"/>
    <w:rsid w:val="00AD6961"/>
    <w:rsid w:val="00AE1D3C"/>
    <w:rsid w:val="00AE30A1"/>
    <w:rsid w:val="00AF7B18"/>
    <w:rsid w:val="00B02527"/>
    <w:rsid w:val="00B042DD"/>
    <w:rsid w:val="00B04B5F"/>
    <w:rsid w:val="00B064A0"/>
    <w:rsid w:val="00B07FB2"/>
    <w:rsid w:val="00B14BE4"/>
    <w:rsid w:val="00B1603F"/>
    <w:rsid w:val="00B17362"/>
    <w:rsid w:val="00B211E5"/>
    <w:rsid w:val="00B222AA"/>
    <w:rsid w:val="00B2422F"/>
    <w:rsid w:val="00B26CA5"/>
    <w:rsid w:val="00B30F5B"/>
    <w:rsid w:val="00B31F6D"/>
    <w:rsid w:val="00B3218C"/>
    <w:rsid w:val="00B376AA"/>
    <w:rsid w:val="00B4318A"/>
    <w:rsid w:val="00B4352D"/>
    <w:rsid w:val="00B4354D"/>
    <w:rsid w:val="00B4505F"/>
    <w:rsid w:val="00B52CFD"/>
    <w:rsid w:val="00B55561"/>
    <w:rsid w:val="00B62A42"/>
    <w:rsid w:val="00B63A6F"/>
    <w:rsid w:val="00B64C95"/>
    <w:rsid w:val="00B65EFB"/>
    <w:rsid w:val="00B67FBE"/>
    <w:rsid w:val="00B73316"/>
    <w:rsid w:val="00B7558E"/>
    <w:rsid w:val="00B76EEB"/>
    <w:rsid w:val="00B80B2B"/>
    <w:rsid w:val="00B81CA8"/>
    <w:rsid w:val="00B82AB5"/>
    <w:rsid w:val="00B85A34"/>
    <w:rsid w:val="00B91451"/>
    <w:rsid w:val="00B93C92"/>
    <w:rsid w:val="00B93D0D"/>
    <w:rsid w:val="00BA1050"/>
    <w:rsid w:val="00BA14E5"/>
    <w:rsid w:val="00BA34E5"/>
    <w:rsid w:val="00BA7F9A"/>
    <w:rsid w:val="00BC0D91"/>
    <w:rsid w:val="00BC10B4"/>
    <w:rsid w:val="00BC1D2E"/>
    <w:rsid w:val="00BC3520"/>
    <w:rsid w:val="00BC7403"/>
    <w:rsid w:val="00BD16EF"/>
    <w:rsid w:val="00BD6895"/>
    <w:rsid w:val="00BD72A0"/>
    <w:rsid w:val="00BD7605"/>
    <w:rsid w:val="00BD7E5C"/>
    <w:rsid w:val="00BE0C1A"/>
    <w:rsid w:val="00BE511A"/>
    <w:rsid w:val="00BE6809"/>
    <w:rsid w:val="00BF04A9"/>
    <w:rsid w:val="00BF172A"/>
    <w:rsid w:val="00C03A70"/>
    <w:rsid w:val="00C10665"/>
    <w:rsid w:val="00C11261"/>
    <w:rsid w:val="00C11CBD"/>
    <w:rsid w:val="00C1688E"/>
    <w:rsid w:val="00C16C9A"/>
    <w:rsid w:val="00C30805"/>
    <w:rsid w:val="00C322CA"/>
    <w:rsid w:val="00C333AE"/>
    <w:rsid w:val="00C33633"/>
    <w:rsid w:val="00C36B6E"/>
    <w:rsid w:val="00C40BC9"/>
    <w:rsid w:val="00C418BF"/>
    <w:rsid w:val="00C43533"/>
    <w:rsid w:val="00C450C2"/>
    <w:rsid w:val="00C47169"/>
    <w:rsid w:val="00C476A5"/>
    <w:rsid w:val="00C52673"/>
    <w:rsid w:val="00C527C2"/>
    <w:rsid w:val="00C53CAA"/>
    <w:rsid w:val="00C54FE1"/>
    <w:rsid w:val="00C56B59"/>
    <w:rsid w:val="00C56F42"/>
    <w:rsid w:val="00C60008"/>
    <w:rsid w:val="00C602B2"/>
    <w:rsid w:val="00C614B2"/>
    <w:rsid w:val="00C61B50"/>
    <w:rsid w:val="00C6277B"/>
    <w:rsid w:val="00C637E7"/>
    <w:rsid w:val="00C6566A"/>
    <w:rsid w:val="00C70DDD"/>
    <w:rsid w:val="00C7135A"/>
    <w:rsid w:val="00C72922"/>
    <w:rsid w:val="00C72F3B"/>
    <w:rsid w:val="00C8412F"/>
    <w:rsid w:val="00C868C9"/>
    <w:rsid w:val="00C87BCF"/>
    <w:rsid w:val="00C87FAA"/>
    <w:rsid w:val="00C930FB"/>
    <w:rsid w:val="00C94D02"/>
    <w:rsid w:val="00C97C04"/>
    <w:rsid w:val="00CA08BB"/>
    <w:rsid w:val="00CA738D"/>
    <w:rsid w:val="00CA73A6"/>
    <w:rsid w:val="00CB137A"/>
    <w:rsid w:val="00CB5B67"/>
    <w:rsid w:val="00CC61D8"/>
    <w:rsid w:val="00CC78E6"/>
    <w:rsid w:val="00CD06B7"/>
    <w:rsid w:val="00CD3DCC"/>
    <w:rsid w:val="00CE0CC5"/>
    <w:rsid w:val="00CE1CA8"/>
    <w:rsid w:val="00CE3B18"/>
    <w:rsid w:val="00CE5326"/>
    <w:rsid w:val="00CE59A4"/>
    <w:rsid w:val="00CE6A9C"/>
    <w:rsid w:val="00CF25F7"/>
    <w:rsid w:val="00CF44CB"/>
    <w:rsid w:val="00D0056A"/>
    <w:rsid w:val="00D0123C"/>
    <w:rsid w:val="00D01E4C"/>
    <w:rsid w:val="00D06F69"/>
    <w:rsid w:val="00D0786A"/>
    <w:rsid w:val="00D1221D"/>
    <w:rsid w:val="00D14001"/>
    <w:rsid w:val="00D14B6D"/>
    <w:rsid w:val="00D15BF2"/>
    <w:rsid w:val="00D17140"/>
    <w:rsid w:val="00D20608"/>
    <w:rsid w:val="00D229BC"/>
    <w:rsid w:val="00D24738"/>
    <w:rsid w:val="00D270DA"/>
    <w:rsid w:val="00D30641"/>
    <w:rsid w:val="00D3224C"/>
    <w:rsid w:val="00D32EF9"/>
    <w:rsid w:val="00D3412C"/>
    <w:rsid w:val="00D3710B"/>
    <w:rsid w:val="00D379FE"/>
    <w:rsid w:val="00D4037E"/>
    <w:rsid w:val="00D40DBB"/>
    <w:rsid w:val="00D4314C"/>
    <w:rsid w:val="00D457CF"/>
    <w:rsid w:val="00D518FD"/>
    <w:rsid w:val="00D53C56"/>
    <w:rsid w:val="00D54E5C"/>
    <w:rsid w:val="00D56FE0"/>
    <w:rsid w:val="00D57037"/>
    <w:rsid w:val="00D61089"/>
    <w:rsid w:val="00D618E9"/>
    <w:rsid w:val="00D625D0"/>
    <w:rsid w:val="00D65033"/>
    <w:rsid w:val="00D6582A"/>
    <w:rsid w:val="00D711DF"/>
    <w:rsid w:val="00D76B42"/>
    <w:rsid w:val="00D80778"/>
    <w:rsid w:val="00D8306F"/>
    <w:rsid w:val="00D84CE0"/>
    <w:rsid w:val="00D872E8"/>
    <w:rsid w:val="00D92308"/>
    <w:rsid w:val="00D92B99"/>
    <w:rsid w:val="00D93F4D"/>
    <w:rsid w:val="00DA57C5"/>
    <w:rsid w:val="00DA6069"/>
    <w:rsid w:val="00DB269D"/>
    <w:rsid w:val="00DB306E"/>
    <w:rsid w:val="00DB32CE"/>
    <w:rsid w:val="00DB38C2"/>
    <w:rsid w:val="00DB3DDC"/>
    <w:rsid w:val="00DB3DFE"/>
    <w:rsid w:val="00DB6345"/>
    <w:rsid w:val="00DC0ACD"/>
    <w:rsid w:val="00DC1109"/>
    <w:rsid w:val="00DC16CC"/>
    <w:rsid w:val="00DC3B1C"/>
    <w:rsid w:val="00DE073D"/>
    <w:rsid w:val="00DE0BAC"/>
    <w:rsid w:val="00DE18D0"/>
    <w:rsid w:val="00DE34F2"/>
    <w:rsid w:val="00DE693A"/>
    <w:rsid w:val="00DF0CA0"/>
    <w:rsid w:val="00DF1B6C"/>
    <w:rsid w:val="00DF6655"/>
    <w:rsid w:val="00DF6780"/>
    <w:rsid w:val="00E01DE9"/>
    <w:rsid w:val="00E04297"/>
    <w:rsid w:val="00E06F29"/>
    <w:rsid w:val="00E16E16"/>
    <w:rsid w:val="00E2182A"/>
    <w:rsid w:val="00E21A01"/>
    <w:rsid w:val="00E25DA6"/>
    <w:rsid w:val="00E2735D"/>
    <w:rsid w:val="00E306C7"/>
    <w:rsid w:val="00E30A2F"/>
    <w:rsid w:val="00E3483F"/>
    <w:rsid w:val="00E35A5C"/>
    <w:rsid w:val="00E37A8D"/>
    <w:rsid w:val="00E37C61"/>
    <w:rsid w:val="00E415E1"/>
    <w:rsid w:val="00E47919"/>
    <w:rsid w:val="00E51145"/>
    <w:rsid w:val="00E52EB6"/>
    <w:rsid w:val="00E54277"/>
    <w:rsid w:val="00E554A9"/>
    <w:rsid w:val="00E6136F"/>
    <w:rsid w:val="00E618BB"/>
    <w:rsid w:val="00E63662"/>
    <w:rsid w:val="00E665C2"/>
    <w:rsid w:val="00E675FC"/>
    <w:rsid w:val="00E7292B"/>
    <w:rsid w:val="00E75564"/>
    <w:rsid w:val="00E76934"/>
    <w:rsid w:val="00E76CEF"/>
    <w:rsid w:val="00E81890"/>
    <w:rsid w:val="00E81A8D"/>
    <w:rsid w:val="00E8322B"/>
    <w:rsid w:val="00E835F8"/>
    <w:rsid w:val="00E92279"/>
    <w:rsid w:val="00E93BC1"/>
    <w:rsid w:val="00E93C16"/>
    <w:rsid w:val="00E94852"/>
    <w:rsid w:val="00E94C6D"/>
    <w:rsid w:val="00E97E09"/>
    <w:rsid w:val="00EA1267"/>
    <w:rsid w:val="00EA20B8"/>
    <w:rsid w:val="00EA22C4"/>
    <w:rsid w:val="00EA4C5D"/>
    <w:rsid w:val="00EA5827"/>
    <w:rsid w:val="00EA7834"/>
    <w:rsid w:val="00EA7B84"/>
    <w:rsid w:val="00EB044C"/>
    <w:rsid w:val="00EB213D"/>
    <w:rsid w:val="00EB3EA6"/>
    <w:rsid w:val="00EB5EB1"/>
    <w:rsid w:val="00EB6D32"/>
    <w:rsid w:val="00EB7C79"/>
    <w:rsid w:val="00EC1BD6"/>
    <w:rsid w:val="00EC2407"/>
    <w:rsid w:val="00EC2E78"/>
    <w:rsid w:val="00EC4679"/>
    <w:rsid w:val="00EC5247"/>
    <w:rsid w:val="00EC5EC2"/>
    <w:rsid w:val="00ED1599"/>
    <w:rsid w:val="00ED3606"/>
    <w:rsid w:val="00ED39FC"/>
    <w:rsid w:val="00ED3E9B"/>
    <w:rsid w:val="00ED4D55"/>
    <w:rsid w:val="00ED665C"/>
    <w:rsid w:val="00EE1EC6"/>
    <w:rsid w:val="00EE448B"/>
    <w:rsid w:val="00EE6103"/>
    <w:rsid w:val="00EF345C"/>
    <w:rsid w:val="00EF519E"/>
    <w:rsid w:val="00EF6380"/>
    <w:rsid w:val="00EF6885"/>
    <w:rsid w:val="00EF7112"/>
    <w:rsid w:val="00F006A0"/>
    <w:rsid w:val="00F03297"/>
    <w:rsid w:val="00F03E71"/>
    <w:rsid w:val="00F079F6"/>
    <w:rsid w:val="00F10481"/>
    <w:rsid w:val="00F11B76"/>
    <w:rsid w:val="00F13E74"/>
    <w:rsid w:val="00F15A4B"/>
    <w:rsid w:val="00F15D01"/>
    <w:rsid w:val="00F1616F"/>
    <w:rsid w:val="00F1662B"/>
    <w:rsid w:val="00F17C97"/>
    <w:rsid w:val="00F2046D"/>
    <w:rsid w:val="00F23E85"/>
    <w:rsid w:val="00F2600D"/>
    <w:rsid w:val="00F308BA"/>
    <w:rsid w:val="00F30DE9"/>
    <w:rsid w:val="00F31771"/>
    <w:rsid w:val="00F334DA"/>
    <w:rsid w:val="00F362FC"/>
    <w:rsid w:val="00F37800"/>
    <w:rsid w:val="00F434E0"/>
    <w:rsid w:val="00F45E5E"/>
    <w:rsid w:val="00F5134A"/>
    <w:rsid w:val="00F523D4"/>
    <w:rsid w:val="00F56018"/>
    <w:rsid w:val="00F5665E"/>
    <w:rsid w:val="00F57D00"/>
    <w:rsid w:val="00F6280C"/>
    <w:rsid w:val="00F62CD2"/>
    <w:rsid w:val="00F62F94"/>
    <w:rsid w:val="00F704DF"/>
    <w:rsid w:val="00F73803"/>
    <w:rsid w:val="00F75F2A"/>
    <w:rsid w:val="00F7729D"/>
    <w:rsid w:val="00F909F2"/>
    <w:rsid w:val="00F91270"/>
    <w:rsid w:val="00F92E8E"/>
    <w:rsid w:val="00F96B07"/>
    <w:rsid w:val="00F96B2B"/>
    <w:rsid w:val="00FA2172"/>
    <w:rsid w:val="00FA499B"/>
    <w:rsid w:val="00FA6622"/>
    <w:rsid w:val="00FA78F7"/>
    <w:rsid w:val="00FA7FF6"/>
    <w:rsid w:val="00FB0F0A"/>
    <w:rsid w:val="00FB5964"/>
    <w:rsid w:val="00FB624F"/>
    <w:rsid w:val="00FB6456"/>
    <w:rsid w:val="00FB6C62"/>
    <w:rsid w:val="00FB7618"/>
    <w:rsid w:val="00FC16E6"/>
    <w:rsid w:val="00FC41AB"/>
    <w:rsid w:val="00FC52AE"/>
    <w:rsid w:val="00FC6C95"/>
    <w:rsid w:val="00FD2934"/>
    <w:rsid w:val="00FD2A8F"/>
    <w:rsid w:val="00FD2EE1"/>
    <w:rsid w:val="00FD30DF"/>
    <w:rsid w:val="00FD6026"/>
    <w:rsid w:val="00FD7CA8"/>
    <w:rsid w:val="00FE27DA"/>
    <w:rsid w:val="00FE3467"/>
    <w:rsid w:val="00FE53A6"/>
    <w:rsid w:val="00FE5ED9"/>
    <w:rsid w:val="00FF1326"/>
    <w:rsid w:val="00FF1B55"/>
    <w:rsid w:val="00FF1E1C"/>
    <w:rsid w:val="00FF4782"/>
    <w:rsid w:val="00FF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F821CC-79C0-6F41-B86C-17721FD1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72A"/>
    <w:rPr>
      <w:sz w:val="24"/>
      <w:szCs w:val="24"/>
    </w:rPr>
  </w:style>
  <w:style w:type="paragraph" w:styleId="Heading1">
    <w:name w:val="heading 1"/>
    <w:basedOn w:val="Normal"/>
    <w:next w:val="Normal"/>
    <w:qFormat/>
    <w:rsid w:val="00BF172A"/>
    <w:pPr>
      <w:keepNext/>
      <w:jc w:val="center"/>
      <w:outlineLvl w:val="0"/>
    </w:pPr>
    <w:rPr>
      <w:b/>
      <w:bCs/>
    </w:rPr>
  </w:style>
  <w:style w:type="paragraph" w:styleId="Heading2">
    <w:name w:val="heading 2"/>
    <w:basedOn w:val="Normal"/>
    <w:next w:val="Normal"/>
    <w:qFormat/>
    <w:rsid w:val="00BF172A"/>
    <w:pPr>
      <w:keepNext/>
      <w:spacing w:line="480" w:lineRule="auto"/>
      <w:ind w:left="720"/>
      <w:jc w:val="center"/>
      <w:outlineLvl w:val="1"/>
    </w:pPr>
    <w:rPr>
      <w:b/>
      <w:bCs/>
      <w:sz w:val="28"/>
      <w:lang w:val="es-ES_trad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semiHidden/>
    <w:rsid w:val="00BF172A"/>
    <w:pPr>
      <w:spacing w:line="480" w:lineRule="auto"/>
    </w:pPr>
    <w:rPr>
      <w:sz w:val="28"/>
      <w:lang w:val="es-ES_tradnl"/>
    </w:rPr>
  </w:style>
  <w:style w:type="paragraph" w:styleId="Title">
    <w:name w:val="Title"/>
    <w:basedOn w:val="Normal"/>
    <w:qFormat/>
    <w:rsid w:val="00BF172A"/>
    <w:pPr>
      <w:jc w:val="center"/>
    </w:pPr>
    <w:rPr>
      <w:b/>
      <w:bCs/>
    </w:rPr>
  </w:style>
  <w:style w:type="paragraph" w:styleId="Header">
    <w:name w:val="header"/>
    <w:basedOn w:val="Normal"/>
    <w:semiHidden/>
    <w:rsid w:val="00BF172A"/>
    <w:pPr>
      <w:tabs>
        <w:tab w:val="center" w:pos="4320"/>
        <w:tab w:val="right" w:pos="8640"/>
      </w:tabs>
    </w:pPr>
  </w:style>
  <w:style w:type="character" w:styleId="PageNumber">
    <w:name w:val="page number"/>
    <w:basedOn w:val="DefaultParagraphFont"/>
    <w:semiHidden/>
    <w:rsid w:val="00BF172A"/>
  </w:style>
  <w:style w:type="paragraph" w:styleId="Footer">
    <w:name w:val="footer"/>
    <w:basedOn w:val="Normal"/>
    <w:link w:val="FooterChar"/>
    <w:uiPriority w:val="99"/>
    <w:rsid w:val="00BF172A"/>
    <w:pPr>
      <w:tabs>
        <w:tab w:val="center" w:pos="4320"/>
        <w:tab w:val="right" w:pos="8640"/>
      </w:tabs>
    </w:pPr>
  </w:style>
  <w:style w:type="paragraph" w:styleId="BodyTextIndent">
    <w:name w:val="Body Text Indent"/>
    <w:basedOn w:val="Normal"/>
    <w:rsid w:val="00BF172A"/>
    <w:pPr>
      <w:spacing w:after="120"/>
      <w:ind w:left="283"/>
    </w:pPr>
  </w:style>
  <w:style w:type="character" w:styleId="Hyperlink">
    <w:name w:val="Hyperlink"/>
    <w:rsid w:val="002A6C35"/>
    <w:rPr>
      <w:color w:val="0000FF"/>
      <w:u w:val="single"/>
    </w:rPr>
  </w:style>
  <w:style w:type="paragraph" w:styleId="FootnoteText">
    <w:name w:val="footnote text"/>
    <w:basedOn w:val="Normal"/>
    <w:link w:val="FootnoteTextChar"/>
    <w:rsid w:val="003F68CD"/>
    <w:rPr>
      <w:sz w:val="20"/>
      <w:szCs w:val="20"/>
    </w:rPr>
  </w:style>
  <w:style w:type="character" w:customStyle="1" w:styleId="FootnoteTextChar">
    <w:name w:val="Footnote Text Char"/>
    <w:link w:val="FootnoteText"/>
    <w:rsid w:val="003F68CD"/>
    <w:rPr>
      <w:lang w:val="en-US" w:eastAsia="en-US"/>
    </w:rPr>
  </w:style>
  <w:style w:type="character" w:styleId="FootnoteReference">
    <w:name w:val="footnote reference"/>
    <w:rsid w:val="003F68CD"/>
    <w:rPr>
      <w:vertAlign w:val="superscript"/>
    </w:rPr>
  </w:style>
  <w:style w:type="character" w:customStyle="1" w:styleId="FooterChar">
    <w:name w:val="Footer Char"/>
    <w:link w:val="Footer"/>
    <w:uiPriority w:val="99"/>
    <w:rsid w:val="00511C44"/>
    <w:rPr>
      <w:sz w:val="24"/>
      <w:szCs w:val="24"/>
      <w:lang w:val="en-US" w:eastAsia="en-US"/>
    </w:rPr>
  </w:style>
  <w:style w:type="paragraph" w:styleId="BalloonText">
    <w:name w:val="Balloon Text"/>
    <w:basedOn w:val="Normal"/>
    <w:link w:val="BalloonTextChar"/>
    <w:rsid w:val="00E92279"/>
    <w:rPr>
      <w:rFonts w:ascii="Tahoma" w:hAnsi="Tahoma" w:cs="Tahoma"/>
      <w:sz w:val="16"/>
      <w:szCs w:val="16"/>
    </w:rPr>
  </w:style>
  <w:style w:type="character" w:customStyle="1" w:styleId="BalloonTextChar">
    <w:name w:val="Balloon Text Char"/>
    <w:link w:val="BalloonText"/>
    <w:rsid w:val="00E92279"/>
    <w:rPr>
      <w:rFonts w:ascii="Tahoma" w:hAnsi="Tahoma" w:cs="Tahoma"/>
      <w:sz w:val="16"/>
      <w:szCs w:val="16"/>
      <w:lang w:val="en-US" w:eastAsia="en-US"/>
    </w:rPr>
  </w:style>
  <w:style w:type="character" w:customStyle="1" w:styleId="fontstyle01">
    <w:name w:val="fontstyle01"/>
    <w:rsid w:val="00877644"/>
    <w:rPr>
      <w:rFonts w:ascii="TimesNewRomanPSMT" w:hAnsi="TimesNewRomanPSMT" w:hint="default"/>
      <w:b w:val="0"/>
      <w:bCs w:val="0"/>
      <w:i w:val="0"/>
      <w:iCs w:val="0"/>
      <w:color w:val="000000"/>
      <w:sz w:val="24"/>
      <w:szCs w:val="24"/>
    </w:rPr>
  </w:style>
  <w:style w:type="character" w:customStyle="1" w:styleId="fontstyle21">
    <w:name w:val="fontstyle21"/>
    <w:rsid w:val="00DE693A"/>
    <w:rPr>
      <w:rFonts w:ascii="Courier New" w:hAnsi="Courier New" w:cs="Courier New" w:hint="default"/>
      <w:b/>
      <w:bCs/>
      <w:i w:val="0"/>
      <w:iCs w:val="0"/>
      <w:color w:val="000000"/>
      <w:sz w:val="24"/>
      <w:szCs w:val="24"/>
    </w:rPr>
  </w:style>
  <w:style w:type="character" w:customStyle="1" w:styleId="fontstyle31">
    <w:name w:val="fontstyle31"/>
    <w:rsid w:val="00DE693A"/>
    <w:rPr>
      <w:rFonts w:ascii="Courier New" w:hAnsi="Courier New" w:cs="Courier New" w:hint="default"/>
      <w:b/>
      <w:bCs/>
      <w:i/>
      <w:iCs/>
      <w:color w:val="000000"/>
      <w:sz w:val="24"/>
      <w:szCs w:val="24"/>
    </w:rPr>
  </w:style>
  <w:style w:type="paragraph" w:styleId="ListParagraph">
    <w:name w:val="List Paragraph"/>
    <w:basedOn w:val="Normal"/>
    <w:uiPriority w:val="34"/>
    <w:qFormat/>
    <w:rsid w:val="002E54EA"/>
    <w:pPr>
      <w:spacing w:after="160" w:line="259" w:lineRule="auto"/>
      <w:ind w:left="720"/>
      <w:contextualSpacing/>
    </w:pPr>
    <w:rPr>
      <w:rFonts w:ascii="Calibri" w:eastAsia="Calibri" w:hAnsi="Calibri"/>
      <w:sz w:val="22"/>
      <w:szCs w:val="22"/>
      <w:lang w:val="es-PR"/>
    </w:rPr>
  </w:style>
  <w:style w:type="character" w:customStyle="1" w:styleId="BodyTextChar">
    <w:name w:val="Body Text Char"/>
    <w:link w:val="BodyText"/>
    <w:semiHidden/>
    <w:rsid w:val="002E54EA"/>
    <w:rPr>
      <w:sz w:val="28"/>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8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_rels/footnotes.xml.rels><?xml version="1.0" encoding="UTF-8" standalone="yes"?>
<Relationships xmlns="http://schemas.openxmlformats.org/package/2006/relationships"><Relationship Id="rId2" Type="http://schemas.openxmlformats.org/officeDocument/2006/relationships/hyperlink" Target="https://univision.com/local/puerto-rico-wlii/fuertes-lluvias-provocan-deslizamientos-en-ciales-video" TargetMode="External" /><Relationship Id="rId1" Type="http://schemas.openxmlformats.org/officeDocument/2006/relationships/hyperlink" Target="https://www.usgs.gov/programs/landslide-hazards/landslides-1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C537-3908-447D-8DDE-F5F3B977F3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8519</Words>
  <Characters>48561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Hewlett-Packard</Company>
  <LinksUpToDate>false</LinksUpToDate>
  <CharactersWithSpaces>56967</CharactersWithSpaces>
  <SharedDoc>false</SharedDoc>
  <HLinks>
    <vt:vector size="12" baseType="variant">
      <vt:variant>
        <vt:i4>983110</vt:i4>
      </vt:variant>
      <vt:variant>
        <vt:i4>3</vt:i4>
      </vt:variant>
      <vt:variant>
        <vt:i4>0</vt:i4>
      </vt:variant>
      <vt:variant>
        <vt:i4>5</vt:i4>
      </vt:variant>
      <vt:variant>
        <vt:lpwstr>https://univision.com/local/puerto-rico-wlii/fuertes-lluvias-provocan-deslizamientos-en-ciales-video</vt:lpwstr>
      </vt:variant>
      <vt:variant>
        <vt:lpwstr/>
      </vt:variant>
      <vt:variant>
        <vt:i4>6488117</vt:i4>
      </vt:variant>
      <vt:variant>
        <vt:i4>0</vt:i4>
      </vt:variant>
      <vt:variant>
        <vt:i4>0</vt:i4>
      </vt:variant>
      <vt:variant>
        <vt:i4>5</vt:i4>
      </vt:variant>
      <vt:variant>
        <vt:lpwstr>https://www.usgs.gov/programs/landslide-hazards/landslides-101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JMMI</dc:creator>
  <cp:keywords/>
  <cp:lastModifiedBy>Felix Ocasio</cp:lastModifiedBy>
  <cp:revision>2</cp:revision>
  <cp:lastPrinted>2020-12-10T16:52:00Z</cp:lastPrinted>
  <dcterms:created xsi:type="dcterms:W3CDTF">2022-10-22T19:41:00Z</dcterms:created>
  <dcterms:modified xsi:type="dcterms:W3CDTF">2022-10-22T19:41:00Z</dcterms:modified>
</cp:coreProperties>
</file>